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Thomas John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GENELUX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GNLX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GENELUX CORPORATION</w:t>
            </w:r>
          </w:p>
        </w:tc>
        <w:tc>
          <w:tcPr>
            <w:tcW w:w="14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2625 TOWNSGATE ROAD, SUITE 230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WESTLAKE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VILLAGE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2.9801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472,784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3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 adopted by the reporting person on June 4,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weighted average sale price for the transaction reported was $2.9801, and the range of prices were between $2.94 and $3.05. Upon request by the SEC staff, the Issuer, or any security holder of the Issuer, full information regarding the number of shares sold at each separate price will be provided.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Zindrick, J.D.,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9103" TargetMode="External"/><Relationship Id="rId14" Type="http://schemas.openxmlformats.org/officeDocument/2006/relationships/hyperlink" Target="http://www.sec.gov/cgi-bin/browse-edgar?action=getcompany&amp;CIK=0001231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2026-06-02T19:37:57Z</dcterms:created>
  <dcterms:modified xsi:type="dcterms:W3CDTF">2026-06-02T19:37:57Z</dcterms:modified>
</cp:coreProperties>
</file>