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C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6_edei--DocumentPeriodEndDate_c202"/>
      <w:bookmarkEnd w:id="4"/>
      <w:r>
        <w:rPr>
          <w:rFonts w:ascii="Times New Roman;Times;Serif" w:hAnsi="Times New Roman;Times;Serif"/>
          <w:b/>
          <w:i w:val="false"/>
          <w:caps w:val="false"/>
          <w:smallCaps w:val="false"/>
          <w:sz w:val="20"/>
        </w:rPr>
        <w:t xml:space="preserve">June 30, </w:t>
      </w:r>
      <w:bookmarkStart w:id="5" w:name="xdx_907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2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B_edei--EntityRegistrantName_c2026"/>
      <w:bookmarkEnd w:id="7"/>
      <w:r>
        <w:rPr>
          <w:rFonts w:ascii="Times New Roman;Times;Serif" w:hAnsi="Times New Roman;Times;Serif"/>
          <w:b/>
          <w:i w:val="false"/>
          <w:caps w:val="false"/>
          <w:smallCaps w:val="false"/>
          <w:sz w:val="36"/>
        </w:rPr>
        <w:t>GENELUX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2495"/>
        <w:gridCol w:w="60"/>
        <w:gridCol w:w="104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IncorporationStateCo"/>
            <w:bookmarkEnd w:id="8"/>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6_edei--EntityFileNumber_c20260101"/>
            <w:bookmarkEnd w:id="9"/>
            <w:r>
              <w:rPr>
                <w:rFonts w:ascii="Times New Roman;Times;Serif" w:hAnsi="Times New Roman;Times;Serif"/>
                <w:b/>
                <w:i w:val="false"/>
                <w:caps w:val="false"/>
                <w:smallCaps w:val="false"/>
                <w:sz w:val="20"/>
              </w:rPr>
              <w:t>001-41599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77-0583529</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AddressLine1_"/>
      <w:bookmarkEnd w:id="11"/>
      <w:r>
        <w:rPr>
          <w:rFonts w:ascii="Times New Roman;Times;Serif" w:hAnsi="Times New Roman;Times;Serif"/>
          <w:b/>
          <w:i w:val="false"/>
          <w:caps w:val="false"/>
          <w:smallCaps w:val="false"/>
          <w:sz w:val="20"/>
        </w:rPr>
        <w:t xml:space="preserve">2625 Townsgate Road, </w:t>
      </w:r>
      <w:bookmarkStart w:id="12" w:name="xdx_90C_edei--EntityAddressAddressLine2_"/>
      <w:bookmarkEnd w:id="12"/>
      <w:r>
        <w:rPr>
          <w:rFonts w:ascii="Times New Roman;Times;Serif" w:hAnsi="Times New Roman;Times;Serif"/>
          <w:b/>
          <w:i w:val="false"/>
          <w:caps w:val="false"/>
          <w:smallCaps w:val="false"/>
          <w:sz w:val="20"/>
        </w:rPr>
        <w:t xml:space="preserve">Suite 230, </w:t>
      </w:r>
      <w:bookmarkStart w:id="13" w:name="xdx_909_edei--EntityAddressCityOrTown_c2"/>
      <w:bookmarkEnd w:id="13"/>
      <w:r>
        <w:rPr>
          <w:rFonts w:ascii="Times New Roman;Times;Serif" w:hAnsi="Times New Roman;Times;Serif"/>
          <w:b/>
          <w:i w:val="false"/>
          <w:caps w:val="false"/>
          <w:smallCaps w:val="false"/>
          <w:sz w:val="20"/>
        </w:rPr>
        <w:t xml:space="preserve">Westlake Village, </w:t>
      </w:r>
      <w:bookmarkStart w:id="14" w:name="xdx_90D_edei--EntityAddressStateOrProvin"/>
      <w:bookmarkEnd w:id="14"/>
      <w:r>
        <w:rPr>
          <w:rFonts w:ascii="Times New Roman;Times;Serif" w:hAnsi="Times New Roman;Times;Serif"/>
          <w:b/>
          <w:i w:val="false"/>
          <w:caps w:val="false"/>
          <w:smallCaps w:val="false"/>
          <w:sz w:val="20"/>
        </w:rPr>
        <w:t xml:space="preserve">California </w:t>
      </w:r>
      <w:bookmarkStart w:id="15" w:name="xdx_909_edei--EntityAddressPostalZipCode"/>
      <w:bookmarkEnd w:id="15"/>
      <w:r>
        <w:rPr>
          <w:rFonts w:ascii="Times New Roman;Times;Serif" w:hAnsi="Times New Roman;Times;Serif"/>
          <w:b/>
          <w:i w:val="false"/>
          <w:caps w:val="false"/>
          <w:smallCaps w:val="false"/>
          <w:sz w:val="20"/>
        </w:rPr>
        <w:t>91361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F_edei--CityAreaCode_c20260101__20"/>
      <w:bookmarkEnd w:id="16"/>
      <w:r>
        <w:rPr>
          <w:rFonts w:ascii="Times New Roman;Times;Serif" w:hAnsi="Times New Roman;Times;Serif"/>
          <w:b/>
          <w:i w:val="false"/>
          <w:caps w:val="false"/>
          <w:smallCaps w:val="false"/>
          <w:sz w:val="20"/>
        </w:rPr>
        <w:t xml:space="preserve">(805) </w:t>
      </w:r>
      <w:bookmarkStart w:id="17" w:name="xdx_90F_edei--LocalPhoneNumber_c20260101"/>
      <w:bookmarkEnd w:id="17"/>
      <w:r>
        <w:rPr>
          <w:rFonts w:ascii="Times New Roman;Times;Serif" w:hAnsi="Times New Roman;Times;Serif"/>
          <w:b/>
          <w:i w:val="false"/>
          <w:caps w:val="false"/>
          <w:smallCaps w:val="false"/>
          <w:sz w:val="20"/>
        </w:rPr>
        <w:t>267-9889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560"/>
        <w:gridCol w:w="60"/>
        <w:gridCol w:w="1445"/>
        <w:gridCol w:w="60"/>
        <w:gridCol w:w="3770"/>
      </w:tblGrid>
      <w:tr>
        <w:trPr/>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each class registered: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60101"/>
            <w:bookmarkEnd w:id="18"/>
            <w:r>
              <w:rPr>
                <w:rFonts w:ascii="Times New Roman;Times;Serif" w:hAnsi="Times New Roman;Times;Serif"/>
                <w:b w:val="false"/>
                <w:i w:val="false"/>
                <w:caps w:val="false"/>
                <w:smallCaps w:val="false"/>
                <w:sz w:val="20"/>
              </w:rPr>
              <w:t xml:space="preserve">Common Stock, par value $0.001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60101__2"/>
            <w:bookmarkEnd w:id="19"/>
            <w:r>
              <w:rPr>
                <w:rFonts w:ascii="Times New Roman;Times;Serif" w:hAnsi="Times New Roman;Times;Serif"/>
                <w:b w:val="false"/>
                <w:i w:val="false"/>
                <w:caps w:val="false"/>
                <w:smallCaps w:val="false"/>
                <w:sz w:val="20"/>
              </w:rPr>
              <w:t>GNLX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12(g) of the Exchange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9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bookmarkStart w:id="22" w:name="xdx_905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smaller reporting company filer. See definition of “accelerated filer” and “large accelerated filer” in Rule 12b-2 of the Exchange Act (Check one):</w:t>
      </w:r>
    </w:p>
    <w:p>
      <w:pPr>
        <w:pStyle w:val="TextBody"/>
        <w:bidi w:val="0"/>
        <w:spacing w:before="0" w:after="0"/>
        <w:ind w:left="0" w:right="0" w:hanging="0"/>
        <w:jc w:val="center"/>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8_edei--EntityFilerCategory_c20260"/>
            <w:bookmarkEnd w:id="23"/>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bookmarkStart w:id="24" w:name="xdx_903_edei--EntitySmallBusiness_c20260"/>
            <w:bookmarkEnd w:id="24"/>
            <w:r>
              <w:rPr>
                <w:rFonts w:ascii="Times New Roman;Times;Serif" w:hAnsi="Times New Roman;Times;Serif"/>
                <w:b w:val="false"/>
                <w:i w:val="false"/>
                <w:caps w:val="false"/>
                <w:smallCaps w:val="false"/>
                <w:sz w:val="20"/>
              </w:rPr>
              <w:t xml:space="preserve">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A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issued and outstanding of each of the issuer’s classes of common equity as of August 11, 2026 was </w:t>
      </w:r>
      <w:bookmarkStart w:id="28" w:name="xdx_90A_edei--EntityCommonStockSharesOut"/>
      <w:bookmarkEnd w:id="28"/>
      <w:r>
        <w:rPr>
          <w:rFonts w:ascii="Times New Roman;Times;Serif" w:hAnsi="Times New Roman;Times;Serif"/>
          <w:b w:val="false"/>
          <w:i w:val="false"/>
          <w:caps w:val="false"/>
          <w:smallCaps w:val="false"/>
          <w:sz w:val="20"/>
        </w:rPr>
        <w:t>45,245,335.</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(“Quarterly Report”) contains forward-looking statements within the meaning of the federal securities laws made pursuant to the safe harbor provisions of the Private Securities Litigation Reform Act of 1995. All statements, other than statements of historical facts contained in this Quarterly Report,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Quarterly Report include statements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clinical studies for our product candidates, including the development of our only clinical-stage product candidate, Olvi-Vec;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scope and likelihood of regulatory filings and approvals, including final regulatory approval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and market opportunity for our product candidates and CHOICE platform;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the size, scope and design of 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commercialization, and marketing plans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hire additional personnel and our ability to attract and retain such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number of patients who suffer from the diseases we are targeting and potential growth in our target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approval and use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and the development and impact of competing therapies that are or may become available;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future events under collaboration and licensing agreements, including potential future payments, as well as our plans and strategies for entering into further collaboration and licensing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product candidates we may develop;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capital requirements and needs for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over which we estimate our existing cash, cash equivalents, restricted cash and marketable securities will be sufficient to fund our future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net proceeds from our financing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laws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geopolitical and macroeconomic factors;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risks and uncertainties, including those described under Part II, Item 1A, “Risk Factors” in this Quarterly Report. </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described under the sections titled “Risk Factors” and “Management’s Discussion and Analysis of Financial Condition and Results of Operations” and elsewhere in our Annual Report on Form 10-K, as amended, for the year ended December 31, 2025 (the “Annual Report”) and in this Quarterly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U.S. Securities and Exchange Commission (the “SEC”) after the date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Quarterly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725"/>
        <w:gridCol w:w="7280"/>
        <w:gridCol w:w="245"/>
      </w:tblGrid>
      <w:tr>
        <w:trPr/>
        <w:tc>
          <w:tcPr>
            <w:tcW w:w="8005" w:type="dxa"/>
            <w:gridSpan w:val="2"/>
            <w:tcBorders/>
            <w:shd w:fill="CCEEFF" w:val="clear"/>
            <w:vAlign w:val="center"/>
          </w:tcPr>
          <w:p>
            <w:pPr>
              <w:pStyle w:val="TableContents"/>
              <w:bidi w:val="0"/>
              <w:spacing w:before="0" w:after="283"/>
              <w:jc w:val="left"/>
              <w:rPr/>
            </w:pPr>
            <w:hyperlink w:anchor="pp_001">
              <w:r>
                <w:rPr>
                  <w:rStyle w:val="InternetLink"/>
                  <w:rFonts w:ascii="Times New Roman;Times;Serif" w:hAnsi="Times New Roman;Times;Serif"/>
                  <w:b/>
                  <w:i w:val="false"/>
                  <w:caps w:val="false"/>
                  <w:smallCaps w:val="false"/>
                  <w:sz w:val="20"/>
                </w:rPr>
                <w:t>PART I— FINANCIAL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pp_002">
              <w:r>
                <w:rPr>
                  <w:rStyle w:val="InternetLink"/>
                  <w:rFonts w:ascii="Times New Roman;Times;Serif" w:hAnsi="Times New Roman;Times;Serif"/>
                  <w:b w:val="false"/>
                  <w:i w:val="false"/>
                  <w:caps w:val="false"/>
                  <w:smallCaps w:val="false"/>
                  <w:sz w:val="20"/>
                </w:rPr>
                <w:t>Condensed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pp_003">
              <w:r>
                <w:rPr>
                  <w:rStyle w:val="InternetLink"/>
                  <w:rFonts w:ascii="Times New Roman;Times;Serif" w:hAnsi="Times New Roman;Times;Serif"/>
                  <w:b w:val="false"/>
                  <w:i w:val="false"/>
                  <w:caps w:val="false"/>
                  <w:smallCaps w:val="false"/>
                  <w:sz w:val="20"/>
                </w:rPr>
                <w:t>Condensed Balance Sheets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pp_004">
              <w:r>
                <w:rPr>
                  <w:rStyle w:val="InternetLink"/>
                  <w:rFonts w:ascii="Times New Roman;Times;Serif" w:hAnsi="Times New Roman;Times;Serif"/>
                  <w:b w:val="false"/>
                  <w:i w:val="false"/>
                  <w:caps w:val="false"/>
                  <w:smallCaps w:val="false"/>
                  <w:sz w:val="20"/>
                </w:rPr>
                <w:t>Condensed Statements of Operations and Comprehensive Loss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pp_005">
              <w:r>
                <w:rPr>
                  <w:rStyle w:val="InternetLink"/>
                  <w:rFonts w:ascii="Times New Roman;Times;Serif" w:hAnsi="Times New Roman;Times;Serif"/>
                  <w:b w:val="false"/>
                  <w:i w:val="false"/>
                  <w:caps w:val="false"/>
                  <w:smallCaps w:val="false"/>
                  <w:sz w:val="20"/>
                </w:rPr>
                <w:t>Condensed Statements of Stockholders’ Equity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pp_006">
              <w:r>
                <w:rPr>
                  <w:rStyle w:val="InternetLink"/>
                  <w:rFonts w:ascii="Times New Roman;Times;Serif" w:hAnsi="Times New Roman;Times;Serif"/>
                  <w:b w:val="false"/>
                  <w:i w:val="false"/>
                  <w:caps w:val="false"/>
                  <w:smallCaps w:val="false"/>
                  <w:sz w:val="20"/>
                </w:rPr>
                <w:t>Condensed Statements of Cash Flows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pp_007">
              <w:r>
                <w:rPr>
                  <w:rStyle w:val="InternetLink"/>
                  <w:rFonts w:ascii="Times New Roman;Times;Serif" w:hAnsi="Times New Roman;Times;Serif"/>
                  <w:b w:val="false"/>
                  <w:i w:val="false"/>
                  <w:caps w:val="false"/>
                  <w:smallCaps w:val="false"/>
                  <w:sz w:val="20"/>
                </w:rPr>
                <w:t>Notes to Condensed Financial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Controls and Procedures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i w:val="false"/>
                  <w:caps w:val="false"/>
                  <w:smallCaps w:val="false"/>
                  <w:sz w:val="20"/>
                </w:rPr>
                <w:t>PART II—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both"/>
              <w:rPr/>
            </w:pPr>
            <w:hyperlink w:anchor="sh_005">
              <w:r>
                <w:rPr>
                  <w:rStyle w:val="InternetLink"/>
                  <w:rFonts w:ascii="Times New Roman;Times;Serif" w:hAnsi="Times New Roman;Times;Serif"/>
                  <w:b w:val="false"/>
                  <w:i w:val="false"/>
                  <w:caps w:val="false"/>
                  <w:smallCaps w:val="false"/>
                  <w:sz w:val="20"/>
                </w:rPr>
                <w:t>Legal Proceedings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FFFF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both"/>
              <w:rPr/>
            </w:pPr>
            <w:hyperlink w:anchor="sh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Defaults Upon Senior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h_009">
              <w:r>
                <w:rPr>
                  <w:rStyle w:val="InternetLink"/>
                  <w:rFonts w:ascii="Times New Roman;Times;Serif" w:hAnsi="Times New Roman;Times;Serif"/>
                  <w:b w:val="false"/>
                  <w:i w:val="false"/>
                  <w:caps w:val="false"/>
                  <w:smallCaps w:val="false"/>
                  <w:sz w:val="20"/>
                </w:rPr>
                <w:t>Mine Safety Disclosures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sh_010">
              <w:r>
                <w:rPr>
                  <w:rStyle w:val="InternetLink"/>
                  <w:rFonts w:ascii="Times New Roman;Times;Serif" w:hAnsi="Times New Roman;Times;Serif"/>
                  <w:b w:val="false"/>
                  <w:i w:val="false"/>
                  <w:caps w:val="false"/>
                  <w:smallCaps w:val="false"/>
                  <w:sz w:val="20"/>
                </w:rPr>
                <w:t>Other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h_011">
              <w:r>
                <w:rPr>
                  <w:rStyle w:val="InternetLink"/>
                  <w:rFonts w:ascii="Times New Roman;Times;Serif" w:hAnsi="Times New Roman;Times;Serif"/>
                  <w:b w:val="false"/>
                  <w:i w:val="false"/>
                  <w:caps w:val="false"/>
                  <w:smallCaps w:val="false"/>
                  <w:sz w:val="20"/>
                </w:rPr>
                <w:t>Exhibits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8005" w:type="dxa"/>
            <w:gridSpan w:val="2"/>
            <w:tcBorders/>
            <w:shd w:fill="FFFFFF" w:val="clear"/>
            <w:vAlign w:val="center"/>
          </w:tcPr>
          <w:p>
            <w:pPr>
              <w:pStyle w:val="TableContents"/>
              <w:bidi w:val="0"/>
              <w:spacing w:before="0" w:after="283"/>
              <w:jc w:val="left"/>
              <w:rPr/>
            </w:pPr>
            <w:hyperlink w:anchor="sh_012">
              <w:r>
                <w:rPr>
                  <w:rStyle w:val="InternetLink"/>
                  <w:rFonts w:ascii="Times New Roman;Times;Serif" w:hAnsi="Times New Roman;Times;Serif"/>
                  <w:b/>
                  <w:i w:val="false"/>
                  <w:caps w:val="false"/>
                  <w:smallCaps w:val="false"/>
                  <w:sz w:val="20"/>
                </w:rPr>
                <w:t>SIGNATURES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p_001"/>
      <w:bookmarkEnd w:id="29"/>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pp_002"/>
      <w:bookmarkEnd w:id="30"/>
      <w:r>
        <w:rPr>
          <w:rFonts w:ascii="Times New Roman;Times;Serif" w:hAnsi="Times New Roman;Times;Serif"/>
          <w:b/>
          <w:i w:val="false"/>
          <w:caps w:val="false"/>
          <w:smallCaps w:val="false"/>
          <w:sz w:val="20"/>
        </w:rPr>
        <w:t>Item 1.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pp_003"/>
      <w:bookmarkEnd w:id="31"/>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2_111_pn3n3_zXn2EQwDoYXb"/>
      <w:bookmarkStart w:id="33" w:name="xdx_302_111_pn3n3_zXn2EQwDoYXb"/>
      <w:bookmarkEnd w:id="33"/>
    </w:p>
    <w:tbl>
      <w:tblPr>
        <w:tblW w:w="10205" w:type="dxa"/>
        <w:jc w:val="left"/>
        <w:tblInd w:w="0" w:type="dxa"/>
        <w:tblLayout w:type="fixed"/>
        <w:tblCellMar>
          <w:top w:w="0" w:type="dxa"/>
          <w:left w:w="0" w:type="dxa"/>
          <w:bottom w:w="0" w:type="dxa"/>
          <w:right w:w="0" w:type="dxa"/>
        </w:tblCellMar>
      </w:tblPr>
      <w:tblGrid>
        <w:gridCol w:w="7556"/>
        <w:gridCol w:w="60"/>
        <w:gridCol w:w="140"/>
        <w:gridCol w:w="949"/>
        <w:gridCol w:w="95"/>
        <w:gridCol w:w="60"/>
        <w:gridCol w:w="169"/>
        <w:gridCol w:w="1064"/>
        <w:gridCol w:w="112"/>
      </w:tblGrid>
      <w:tr>
        <w:trPr/>
        <w:tc>
          <w:tcPr>
            <w:tcW w:w="7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1_20260630_zPEncSmie2Hd"/>
            <w:bookmarkEnd w:id="34"/>
          </w:p>
        </w:tc>
        <w:tc>
          <w:tcPr>
            <w:tcW w:w="10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D_20251231_z616QVrxw4u"/>
            <w:bookmarkEnd w:id="35"/>
          </w:p>
        </w:tc>
        <w:tc>
          <w:tcPr>
            <w:tcW w:w="12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2" w:type="dxa"/>
            <w:tcBorders/>
            <w:vAlign w:val="center"/>
          </w:tcPr>
          <w:p>
            <w:pPr>
              <w:pStyle w:val="TableContents"/>
              <w:bidi w:val="0"/>
              <w:spacing w:before="0" w:after="283"/>
              <w:jc w:val="left"/>
              <w:rPr/>
            </w:pPr>
            <w:r>
              <w:rPr/>
              <w:t> </w:t>
            </w:r>
          </w:p>
        </w:tc>
      </w:tr>
      <w:tr>
        <w:trPr/>
        <w:tc>
          <w:tcPr>
            <w:tcW w:w="7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36" w:name="xdx_404_eus-gaap--AssetsAbstract_iB_zw5S"/>
            <w:bookmarkEnd w:id="36"/>
          </w:p>
        </w:tc>
      </w:tr>
      <w:tr>
        <w:trPr/>
        <w:tc>
          <w:tcPr>
            <w:tcW w:w="755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0_eus-gaap--AssetsCurrentAbstract_"/>
            <w:bookmarkEnd w:id="37"/>
          </w:p>
        </w:tc>
      </w:tr>
      <w:tr>
        <w:trPr/>
        <w:tc>
          <w:tcPr>
            <w:tcW w:w="755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2_eus-gaap--CashAndCashEquivalents"/>
            <w:bookmarkEnd w:id="38"/>
          </w:p>
        </w:tc>
      </w:tr>
      <w:tr>
        <w:trPr/>
        <w:tc>
          <w:tcPr>
            <w:tcW w:w="7556" w:type="dxa"/>
            <w:tcBorders/>
            <w:shd w:fill="CCEEFF" w:val="clear"/>
            <w:vAlign w:val="center"/>
          </w:tcPr>
          <w:p>
            <w:pPr>
              <w:pStyle w:val="TableContents"/>
              <w:bidi w:val="0"/>
              <w:spacing w:before="0" w:after="283"/>
              <w:jc w:val="left"/>
              <w:rPr/>
            </w:pPr>
            <w:r>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9,184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5,333</w:t>
            </w:r>
          </w:p>
        </w:tc>
        <w:tc>
          <w:tcPr>
            <w:tcW w:w="112" w:type="dxa"/>
            <w:tcBorders/>
            <w:shd w:fill="CCEEFF" w:val="clear"/>
            <w:vAlign w:val="center"/>
          </w:tcPr>
          <w:p>
            <w:pPr>
              <w:pStyle w:val="TableContents"/>
              <w:bidi w:val="0"/>
              <w:spacing w:before="0" w:after="283"/>
              <w:jc w:val="left"/>
              <w:rPr/>
            </w:pPr>
            <w:r>
              <w:rPr/>
              <w:t> </w:t>
            </w:r>
            <w:bookmarkStart w:id="39" w:name="xdx_407_eus-gaap--MarketableSecurities_i"/>
            <w:bookmarkEnd w:id="39"/>
          </w:p>
        </w:tc>
      </w:tr>
      <w:tr>
        <w:trPr/>
        <w:tc>
          <w:tcPr>
            <w:tcW w:w="7556"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9,486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9,262</w:t>
            </w:r>
          </w:p>
        </w:tc>
        <w:tc>
          <w:tcPr>
            <w:tcW w:w="112" w:type="dxa"/>
            <w:tcBorders/>
            <w:shd w:fill="FFFFFF" w:val="clear"/>
            <w:vAlign w:val="center"/>
          </w:tcPr>
          <w:p>
            <w:pPr>
              <w:pStyle w:val="TableContents"/>
              <w:bidi w:val="0"/>
              <w:spacing w:before="0" w:after="283"/>
              <w:jc w:val="left"/>
              <w:rPr/>
            </w:pPr>
            <w:r>
              <w:rPr/>
              <w:t> </w:t>
            </w:r>
            <w:bookmarkStart w:id="40" w:name="xdx_408_eus-gaap--PrepaidExpenseAndOther"/>
            <w:bookmarkEnd w:id="40"/>
          </w:p>
        </w:tc>
      </w:tr>
      <w:tr>
        <w:trPr/>
        <w:tc>
          <w:tcPr>
            <w:tcW w:w="755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535</w:t>
            </w:r>
          </w:p>
        </w:tc>
        <w:tc>
          <w:tcPr>
            <w:tcW w:w="112" w:type="dxa"/>
            <w:tcBorders/>
            <w:shd w:fill="CCEEFF" w:val="clear"/>
            <w:vAlign w:val="center"/>
          </w:tcPr>
          <w:p>
            <w:pPr>
              <w:pStyle w:val="TableContents"/>
              <w:bidi w:val="0"/>
              <w:spacing w:before="0" w:after="283"/>
              <w:jc w:val="left"/>
              <w:rPr/>
            </w:pPr>
            <w:r>
              <w:rPr/>
              <w:t> </w:t>
            </w:r>
            <w:bookmarkStart w:id="41" w:name="xdx_409_eus-gaap--AssetsCurrent_i02TI_mt"/>
            <w:bookmarkEnd w:id="41"/>
          </w:p>
        </w:tc>
      </w:tr>
      <w:tr>
        <w:trPr/>
        <w:tc>
          <w:tcPr>
            <w:tcW w:w="755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19,144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15,130</w:t>
            </w:r>
          </w:p>
        </w:tc>
        <w:tc>
          <w:tcPr>
            <w:tcW w:w="112"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2" w:name="xdx_40D_eus-gaap--PropertyPlantAndEquipm"/>
            <w:bookmarkEnd w:id="42"/>
          </w:p>
        </w:tc>
      </w:tr>
      <w:tr>
        <w:trPr/>
        <w:tc>
          <w:tcPr>
            <w:tcW w:w="755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4,603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2,170</w:t>
            </w:r>
          </w:p>
        </w:tc>
        <w:tc>
          <w:tcPr>
            <w:tcW w:w="112" w:type="dxa"/>
            <w:tcBorders/>
            <w:shd w:fill="FFFFFF" w:val="clear"/>
            <w:vAlign w:val="center"/>
          </w:tcPr>
          <w:p>
            <w:pPr>
              <w:pStyle w:val="TableContents"/>
              <w:bidi w:val="0"/>
              <w:spacing w:before="0" w:after="283"/>
              <w:jc w:val="left"/>
              <w:rPr/>
            </w:pPr>
            <w:r>
              <w:rPr/>
              <w:t> </w:t>
            </w:r>
            <w:bookmarkStart w:id="43" w:name="xdx_40B_eus-gaap--OperatingLeaseRightOfU"/>
            <w:bookmarkEnd w:id="43"/>
          </w:p>
        </w:tc>
      </w:tr>
      <w:tr>
        <w:trPr/>
        <w:tc>
          <w:tcPr>
            <w:tcW w:w="7556" w:type="dxa"/>
            <w:tcBorders/>
            <w:shd w:fill="CCEEFF" w:val="clear"/>
            <w:vAlign w:val="center"/>
          </w:tcPr>
          <w:p>
            <w:pPr>
              <w:pStyle w:val="TableContents"/>
              <w:bidi w:val="0"/>
              <w:spacing w:before="0" w:after="283"/>
              <w:jc w:val="left"/>
              <w:rPr/>
            </w:pPr>
            <w:r>
              <w:rPr/>
              <w:t>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1,583</w:t>
            </w:r>
          </w:p>
        </w:tc>
        <w:tc>
          <w:tcPr>
            <w:tcW w:w="112" w:type="dxa"/>
            <w:tcBorders/>
            <w:shd w:fill="CCEEFF" w:val="clear"/>
            <w:vAlign w:val="center"/>
          </w:tcPr>
          <w:p>
            <w:pPr>
              <w:pStyle w:val="TableContents"/>
              <w:bidi w:val="0"/>
              <w:spacing w:before="0" w:after="283"/>
              <w:jc w:val="left"/>
              <w:rPr/>
            </w:pPr>
            <w:r>
              <w:rPr/>
              <w:t> </w:t>
            </w:r>
            <w:bookmarkStart w:id="44" w:name="xdx_40F_eus-gaap--OtherAssetsNoncurrent_"/>
            <w:bookmarkEnd w:id="44"/>
          </w:p>
        </w:tc>
      </w:tr>
      <w:tr>
        <w:trPr/>
        <w:tc>
          <w:tcPr>
            <w:tcW w:w="755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144</w:t>
            </w:r>
          </w:p>
        </w:tc>
        <w:tc>
          <w:tcPr>
            <w:tcW w:w="112" w:type="dxa"/>
            <w:tcBorders/>
            <w:shd w:fill="FFFFFF" w:val="clear"/>
            <w:vAlign w:val="center"/>
          </w:tcPr>
          <w:p>
            <w:pPr>
              <w:pStyle w:val="TableContents"/>
              <w:bidi w:val="0"/>
              <w:spacing w:before="0" w:after="283"/>
              <w:jc w:val="left"/>
              <w:rPr/>
            </w:pPr>
            <w:r>
              <w:rPr/>
              <w:t> </w:t>
            </w:r>
            <w:bookmarkStart w:id="45" w:name="xdx_40C_eus-gaap--Assets_i01TI_mtAz62n_z"/>
            <w:bookmarkEnd w:id="45"/>
          </w:p>
        </w:tc>
      </w:tr>
      <w:tr>
        <w:trPr/>
        <w:tc>
          <w:tcPr>
            <w:tcW w:w="755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26,205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19,027</w:t>
            </w:r>
          </w:p>
        </w:tc>
        <w:tc>
          <w:tcPr>
            <w:tcW w:w="112"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6" w:name="xdx_40C_eus-gaap--LiabilitiesAndStockhol"/>
            <w:bookmarkEnd w:id="46"/>
          </w:p>
        </w:tc>
      </w:tr>
      <w:tr>
        <w:trPr/>
        <w:tc>
          <w:tcPr>
            <w:tcW w:w="7556"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7" w:name="xdx_407_eus-gaap--LiabilitiesCurrentAbst"/>
            <w:bookmarkEnd w:id="47"/>
          </w:p>
        </w:tc>
      </w:tr>
      <w:tr>
        <w:trPr/>
        <w:tc>
          <w:tcPr>
            <w:tcW w:w="755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8" w:name="xdx_404_eus-gaap--AccountsPayableAndAccr"/>
            <w:bookmarkEnd w:id="48"/>
          </w:p>
        </w:tc>
      </w:tr>
      <w:tr>
        <w:trPr/>
        <w:tc>
          <w:tcPr>
            <w:tcW w:w="7556"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6,918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4,358</w:t>
            </w:r>
          </w:p>
        </w:tc>
        <w:tc>
          <w:tcPr>
            <w:tcW w:w="112" w:type="dxa"/>
            <w:tcBorders/>
            <w:shd w:fill="CCEEFF" w:val="clear"/>
            <w:vAlign w:val="center"/>
          </w:tcPr>
          <w:p>
            <w:pPr>
              <w:pStyle w:val="TableContents"/>
              <w:bidi w:val="0"/>
              <w:spacing w:before="0" w:after="283"/>
              <w:jc w:val="left"/>
              <w:rPr/>
            </w:pPr>
            <w:r>
              <w:rPr/>
              <w:t> </w:t>
            </w:r>
            <w:bookmarkStart w:id="49" w:name="xdx_40B_eus-gaap--AccruedPayrollTaxesCur"/>
            <w:bookmarkEnd w:id="49"/>
          </w:p>
        </w:tc>
      </w:tr>
      <w:tr>
        <w:trPr/>
        <w:tc>
          <w:tcPr>
            <w:tcW w:w="7556" w:type="dxa"/>
            <w:tcBorders/>
            <w:shd w:fill="FFFFFF" w:val="clear"/>
            <w:vAlign w:val="center"/>
          </w:tcPr>
          <w:p>
            <w:pPr>
              <w:pStyle w:val="TableContents"/>
              <w:bidi w:val="0"/>
              <w:spacing w:before="0" w:after="283"/>
              <w:jc w:val="left"/>
              <w:rPr/>
            </w:pPr>
            <w:r>
              <w:rPr/>
              <w:t>Accrued payroll and payroll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1,440</w:t>
            </w:r>
          </w:p>
        </w:tc>
        <w:tc>
          <w:tcPr>
            <w:tcW w:w="112" w:type="dxa"/>
            <w:tcBorders/>
            <w:shd w:fill="FFFFFF" w:val="clear"/>
            <w:vAlign w:val="center"/>
          </w:tcPr>
          <w:p>
            <w:pPr>
              <w:pStyle w:val="TableContents"/>
              <w:bidi w:val="0"/>
              <w:spacing w:before="0" w:after="283"/>
              <w:jc w:val="left"/>
              <w:rPr/>
            </w:pPr>
            <w:r>
              <w:rPr/>
              <w:t> </w:t>
            </w:r>
            <w:bookmarkStart w:id="50" w:name="xdx_402_eus-gaap--OperatingLeaseLiabilit"/>
            <w:bookmarkEnd w:id="50"/>
          </w:p>
        </w:tc>
      </w:tr>
      <w:tr>
        <w:trPr/>
        <w:tc>
          <w:tcPr>
            <w:tcW w:w="7556" w:type="dxa"/>
            <w:tcBorders/>
            <w:shd w:fill="CCEEFF" w:val="clear"/>
            <w:vAlign w:val="center"/>
          </w:tcPr>
          <w:p>
            <w:pPr>
              <w:pStyle w:val="TableContents"/>
              <w:bidi w:val="0"/>
              <w:spacing w:before="0" w:after="283"/>
              <w:jc w:val="left"/>
              <w:rPr/>
            </w:pPr>
            <w:r>
              <w:rPr/>
              <w:t>Lease liabilities,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427</w:t>
            </w:r>
          </w:p>
        </w:tc>
        <w:tc>
          <w:tcPr>
            <w:tcW w:w="112" w:type="dxa"/>
            <w:tcBorders/>
            <w:shd w:fill="CCEEFF" w:val="clear"/>
            <w:vAlign w:val="center"/>
          </w:tcPr>
          <w:p>
            <w:pPr>
              <w:pStyle w:val="TableContents"/>
              <w:bidi w:val="0"/>
              <w:spacing w:before="0" w:after="283"/>
              <w:jc w:val="left"/>
              <w:rPr/>
            </w:pPr>
            <w:r>
              <w:rPr/>
              <w:t> </w:t>
            </w:r>
            <w:bookmarkStart w:id="51" w:name="xdx_40F_eus-gaap--LiabilitiesCurrent_i02"/>
            <w:bookmarkEnd w:id="51"/>
          </w:p>
        </w:tc>
      </w:tr>
      <w:tr>
        <w:trPr/>
        <w:tc>
          <w:tcPr>
            <w:tcW w:w="755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7,998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6,225</w:t>
            </w:r>
          </w:p>
        </w:tc>
        <w:tc>
          <w:tcPr>
            <w:tcW w:w="112"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9_eus-gaap--OperatingLeaseLiabilit"/>
            <w:bookmarkEnd w:id="52"/>
          </w:p>
        </w:tc>
      </w:tr>
      <w:tr>
        <w:trPr/>
        <w:tc>
          <w:tcPr>
            <w:tcW w:w="7556" w:type="dxa"/>
            <w:tcBorders/>
            <w:shd w:fill="FFFFFF" w:val="clear"/>
            <w:vAlign w:val="center"/>
          </w:tcPr>
          <w:p>
            <w:pPr>
              <w:pStyle w:val="TableContents"/>
              <w:bidi w:val="0"/>
              <w:spacing w:before="0" w:after="283"/>
              <w:jc w:val="left"/>
              <w:rPr/>
            </w:pPr>
            <w:r>
              <w:rPr/>
              <w:t>Lease liabilities, long-term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1,258</w:t>
            </w:r>
          </w:p>
        </w:tc>
        <w:tc>
          <w:tcPr>
            <w:tcW w:w="112" w:type="dxa"/>
            <w:tcBorders/>
            <w:shd w:fill="FFFFFF" w:val="clear"/>
            <w:vAlign w:val="center"/>
          </w:tcPr>
          <w:p>
            <w:pPr>
              <w:pStyle w:val="TableContents"/>
              <w:bidi w:val="0"/>
              <w:spacing w:before="0" w:after="283"/>
              <w:jc w:val="left"/>
              <w:rPr/>
            </w:pPr>
            <w:r>
              <w:rPr/>
              <w:t> </w:t>
            </w:r>
            <w:bookmarkStart w:id="53" w:name="xdx_407_eus-gaap--Liabilities_i01TI_mtLz"/>
            <w:bookmarkEnd w:id="53"/>
          </w:p>
        </w:tc>
      </w:tr>
      <w:tr>
        <w:trPr/>
        <w:tc>
          <w:tcPr>
            <w:tcW w:w="755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10,092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7,483</w:t>
            </w:r>
          </w:p>
        </w:tc>
        <w:tc>
          <w:tcPr>
            <w:tcW w:w="112"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4" w:name="xdx_406_eus-gaap--CommitmentsAndContinge"/>
            <w:bookmarkEnd w:id="54"/>
          </w:p>
        </w:tc>
      </w:tr>
      <w:tr>
        <w:trPr/>
        <w:tc>
          <w:tcPr>
            <w:tcW w:w="7556" w:type="dxa"/>
            <w:tcBorders/>
            <w:shd w:fill="CCEEFF" w:val="clear"/>
            <w:vAlign w:val="center"/>
          </w:tcPr>
          <w:p>
            <w:pPr>
              <w:pStyle w:val="TableContents"/>
              <w:bidi w:val="0"/>
              <w:spacing w:before="0" w:after="283"/>
              <w:jc w:val="left"/>
              <w:rPr/>
            </w:pPr>
            <w:r>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2" w:type="dxa"/>
            <w:tcBorders/>
            <w:shd w:fill="CCEEFF" w:val="clear"/>
            <w:vAlign w:val="center"/>
          </w:tcPr>
          <w:p>
            <w:pPr>
              <w:pStyle w:val="TableContents"/>
              <w:bidi w:val="0"/>
              <w:spacing w:before="0" w:after="283"/>
              <w:jc w:val="left"/>
              <w:rPr/>
            </w:pPr>
            <w:r>
              <w:rPr/>
              <w:t> </w:t>
            </w:r>
            <w:bookmarkStart w:id="55" w:name="xdx_402_eus-gaap--StockholdersEquityAbst"/>
            <w:bookmarkEnd w:id="55"/>
          </w:p>
        </w:tc>
      </w:tr>
      <w:tr>
        <w:trPr/>
        <w:tc>
          <w:tcPr>
            <w:tcW w:w="7556"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6" w:name="xdx_400_eus-gaap--CommonStockValue_i02I_"/>
            <w:bookmarkEnd w:id="56"/>
          </w:p>
        </w:tc>
      </w:tr>
      <w:tr>
        <w:trPr/>
        <w:tc>
          <w:tcPr>
            <w:tcW w:w="7556" w:type="dxa"/>
            <w:tcBorders/>
            <w:shd w:fill="CCEEFF" w:val="clear"/>
            <w:vAlign w:val="center"/>
          </w:tcPr>
          <w:p>
            <w:pPr>
              <w:pStyle w:val="TableContents"/>
              <w:bidi w:val="0"/>
              <w:spacing w:before="0" w:after="283"/>
              <w:jc w:val="left"/>
              <w:rPr/>
            </w:pPr>
            <w:r>
              <w:rPr/>
              <w:t>Common stock, par value $</w:t>
            </w:r>
            <w:bookmarkStart w:id="57" w:name="xdx_90C_eus-gaap--CommonStockParOrStated"/>
            <w:bookmarkStart w:id="58" w:name="xdx_90B_eus-gaap--CommonStockParOrStated"/>
            <w:bookmarkEnd w:id="57"/>
            <w:bookmarkEnd w:id="58"/>
            <w:r>
              <w:rPr/>
              <w:t xml:space="preserve">0.001, </w:t>
            </w:r>
            <w:bookmarkStart w:id="59" w:name="xdx_90A_eus-gaap--CommonStockSharesAutho"/>
            <w:bookmarkStart w:id="60" w:name="xdx_90D_eus-gaap--CommonStockSharesAutho"/>
            <w:bookmarkEnd w:id="59"/>
            <w:bookmarkEnd w:id="60"/>
            <w:r>
              <w:rPr/>
              <w:t xml:space="preserve">200,000,000 shares authorized; </w:t>
            </w:r>
            <w:bookmarkStart w:id="61" w:name="xdx_90F_eus-gaap--CommonStockSharesOutst"/>
            <w:bookmarkStart w:id="62" w:name="xdx_907_eus-gaap--CommonStockSharesIssue"/>
            <w:bookmarkEnd w:id="61"/>
            <w:bookmarkEnd w:id="62"/>
            <w:r>
              <w:rPr/>
              <w:t xml:space="preserve">45,103,461 and </w:t>
            </w:r>
            <w:bookmarkStart w:id="63" w:name="xdx_904_eus-gaap--CommonStockSharesOutst"/>
            <w:bookmarkStart w:id="64" w:name="xdx_90C_eus-gaap--CommonStockSharesIssue"/>
            <w:bookmarkEnd w:id="63"/>
            <w:bookmarkEnd w:id="64"/>
            <w:r>
              <w:rPr/>
              <w:t>38,139,144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38</w:t>
            </w:r>
          </w:p>
        </w:tc>
        <w:tc>
          <w:tcPr>
            <w:tcW w:w="112" w:type="dxa"/>
            <w:tcBorders/>
            <w:shd w:fill="CCEEFF" w:val="clear"/>
            <w:vAlign w:val="center"/>
          </w:tcPr>
          <w:p>
            <w:pPr>
              <w:pStyle w:val="TableContents"/>
              <w:bidi w:val="0"/>
              <w:spacing w:before="0" w:after="283"/>
              <w:jc w:val="left"/>
              <w:rPr/>
            </w:pPr>
            <w:r>
              <w:rPr/>
              <w:t> </w:t>
            </w:r>
            <w:bookmarkStart w:id="65" w:name="xdx_400_eus-gaap--TreasuryStockValue_i02"/>
            <w:bookmarkEnd w:id="65"/>
          </w:p>
        </w:tc>
      </w:tr>
      <w:tr>
        <w:trPr/>
        <w:tc>
          <w:tcPr>
            <w:tcW w:w="7556" w:type="dxa"/>
            <w:tcBorders/>
            <w:shd w:fill="FFFFFF" w:val="clear"/>
            <w:vAlign w:val="center"/>
          </w:tcPr>
          <w:p>
            <w:pPr>
              <w:pStyle w:val="TableContents"/>
              <w:bidi w:val="0"/>
              <w:spacing w:before="0" w:after="283"/>
              <w:jc w:val="left"/>
              <w:rPr/>
            </w:pPr>
            <w:r>
              <w:rPr/>
              <w:t xml:space="preserve">Treasury stock, </w:t>
            </w:r>
            <w:bookmarkStart w:id="66" w:name="xdx_90E_eus-gaap--TreasuryStockCommonSha"/>
            <w:bookmarkStart w:id="67" w:name="xdx_90B_eus-gaap--TreasuryStockCommonSha"/>
            <w:bookmarkEnd w:id="66"/>
            <w:bookmarkEnd w:id="67"/>
            <w:r>
              <w:rPr/>
              <w:t>433,333 shares, at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(433</w:t>
            </w:r>
          </w:p>
        </w:tc>
        <w:tc>
          <w:tcPr>
            <w:tcW w:w="112" w:type="dxa"/>
            <w:tcBorders/>
            <w:shd w:fill="FFFFFF" w:val="clear"/>
            <w:vAlign w:val="center"/>
          </w:tcPr>
          <w:p>
            <w:pPr>
              <w:pStyle w:val="TableContents"/>
              <w:bidi w:val="0"/>
              <w:spacing w:before="0" w:after="283"/>
              <w:jc w:val="left"/>
              <w:rPr/>
            </w:pPr>
            <w:r>
              <w:rPr/>
              <w:t>)</w:t>
            </w:r>
            <w:bookmarkStart w:id="68" w:name="xdx_40C_eus-gaap--AdditionalPaidInCapita"/>
            <w:bookmarkEnd w:id="68"/>
          </w:p>
        </w:tc>
      </w:tr>
      <w:tr>
        <w:trPr/>
        <w:tc>
          <w:tcPr>
            <w:tcW w:w="755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318,440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295,468</w:t>
            </w:r>
          </w:p>
        </w:tc>
        <w:tc>
          <w:tcPr>
            <w:tcW w:w="112" w:type="dxa"/>
            <w:tcBorders/>
            <w:shd w:fill="CCEEFF" w:val="clear"/>
            <w:vAlign w:val="center"/>
          </w:tcPr>
          <w:p>
            <w:pPr>
              <w:pStyle w:val="TableContents"/>
              <w:bidi w:val="0"/>
              <w:spacing w:before="0" w:after="283"/>
              <w:jc w:val="left"/>
              <w:rPr/>
            </w:pPr>
            <w:r>
              <w:rPr/>
              <w:t> </w:t>
            </w:r>
            <w:bookmarkStart w:id="69" w:name="xdx_40F_eus-gaap--AccumulatedOtherCompre"/>
            <w:bookmarkEnd w:id="69"/>
          </w:p>
        </w:tc>
      </w:tr>
      <w:tr>
        <w:trPr/>
        <w:tc>
          <w:tcPr>
            <w:tcW w:w="7556"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bookmarkStart w:id="70" w:name="xdx_40C_eus-gaap--RetainedEarningsAccumu"/>
            <w:bookmarkEnd w:id="70"/>
          </w:p>
        </w:tc>
      </w:tr>
      <w:tr>
        <w:trPr/>
        <w:tc>
          <w:tcPr>
            <w:tcW w:w="755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(301,937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(283,538</w:t>
            </w:r>
          </w:p>
        </w:tc>
        <w:tc>
          <w:tcPr>
            <w:tcW w:w="112" w:type="dxa"/>
            <w:tcBorders/>
            <w:shd w:fill="CCEEFF" w:val="clear"/>
            <w:vAlign w:val="center"/>
          </w:tcPr>
          <w:p>
            <w:pPr>
              <w:pStyle w:val="TableContents"/>
              <w:bidi w:val="0"/>
              <w:spacing w:before="0" w:after="283"/>
              <w:jc w:val="left"/>
              <w:rPr/>
            </w:pPr>
            <w:r>
              <w:rPr/>
              <w:t>)</w:t>
            </w:r>
            <w:bookmarkStart w:id="71" w:name="xdx_40C_eus-gaap--StockholdersEquity_i02"/>
            <w:bookmarkEnd w:id="71"/>
          </w:p>
        </w:tc>
      </w:tr>
      <w:tr>
        <w:trPr/>
        <w:tc>
          <w:tcPr>
            <w:tcW w:w="7556"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16,113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11,544</w:t>
            </w:r>
          </w:p>
        </w:tc>
        <w:tc>
          <w:tcPr>
            <w:tcW w:w="112"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2" w:name="xdx_406_eus-gaap--LiabilitiesAndStockhol"/>
            <w:bookmarkEnd w:id="72"/>
          </w:p>
        </w:tc>
      </w:tr>
      <w:tr>
        <w:trPr/>
        <w:tc>
          <w:tcPr>
            <w:tcW w:w="7556"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26,205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19,027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jc w:val="center"/>
        <w:rPr>
          <w:rFonts w:ascii="Times New Roman;Times;Serif" w:hAnsi="Times New Roman;Times;Serif"/>
          <w:b/>
          <w:i w:val="false"/>
          <w:caps w:val="false"/>
          <w:smallCaps w:val="false"/>
          <w:sz w:val="20"/>
        </w:rPr>
      </w:pPr>
      <w:bookmarkStart w:id="73" w:name="pp_004"/>
      <w:bookmarkEnd w:id="73"/>
      <w:r>
        <w:rPr>
          <w:rFonts w:ascii="Times New Roman;Times;Serif" w:hAnsi="Times New Roman;Times;Serif"/>
          <w:b/>
          <w:i w:val="false"/>
          <w:caps w:val="false"/>
          <w:smallCaps w:val="false"/>
          <w:sz w:val="20"/>
        </w:rPr>
        <w:t>Condensed Statements of Operations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 w:name="xdx_30B_113_pn3n3_zvjsyHCAeKA7"/>
      <w:bookmarkStart w:id="75" w:name="xdx_30B_113_pn3n3_zvjsyHCAeKA7"/>
      <w:bookmarkEnd w:id="75"/>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C_20260401__20260630_zWw8SsTYqSE8"/>
            <w:bookmarkEnd w:id="7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0_20250401__20250630_zo07IIwsxvR6"/>
            <w:bookmarkEnd w:id="7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 w:name="xdx_492_20260101__20260630_zP2XGvhPgz7g"/>
            <w:bookmarkEnd w:id="7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1_20250101__20250630_z4MxPDh3pgX1"/>
            <w:bookmarkEnd w:id="7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0" w:name="xdx_40C_eus-gaap--RevenueFromContractWit"/>
            <w:bookmarkEnd w:id="80"/>
          </w:p>
        </w:tc>
      </w:tr>
      <w:tr>
        <w:trPr/>
        <w:tc>
          <w:tcPr>
            <w:tcW w:w="461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1" w:name="xdx_40C_eus-gaap--OperatingExpensesAbstr"/>
            <w:bookmarkEnd w:id="81"/>
          </w:p>
        </w:tc>
      </w:tr>
      <w:tr>
        <w:trPr/>
        <w:tc>
          <w:tcPr>
            <w:tcW w:w="46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2" w:name="xdx_40E_eus-gaap--ResearchAndDevelopment"/>
            <w:bookmarkEnd w:id="82"/>
          </w:p>
        </w:tc>
      </w:tr>
      <w:tr>
        <w:trPr/>
        <w:tc>
          <w:tcPr>
            <w:tcW w:w="46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9,456</w:t>
            </w:r>
          </w:p>
        </w:tc>
        <w:tc>
          <w:tcPr>
            <w:tcW w:w="110" w:type="dxa"/>
            <w:tcBorders/>
            <w:shd w:fill="FFFFFF" w:val="clear"/>
            <w:vAlign w:val="center"/>
          </w:tcPr>
          <w:p>
            <w:pPr>
              <w:pStyle w:val="TableContents"/>
              <w:bidi w:val="0"/>
              <w:spacing w:before="0" w:after="283"/>
              <w:jc w:val="left"/>
              <w:rPr/>
            </w:pPr>
            <w:r>
              <w:rPr/>
              <w:t> </w:t>
            </w:r>
            <w:bookmarkStart w:id="83" w:name="xdx_40C_eus-gaap--GeneralAndAdministrati"/>
            <w:bookmarkEnd w:id="83"/>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6,152</w:t>
            </w:r>
          </w:p>
        </w:tc>
        <w:tc>
          <w:tcPr>
            <w:tcW w:w="110" w:type="dxa"/>
            <w:tcBorders/>
            <w:shd w:fill="CCEEFF" w:val="clear"/>
            <w:vAlign w:val="center"/>
          </w:tcPr>
          <w:p>
            <w:pPr>
              <w:pStyle w:val="TableContents"/>
              <w:bidi w:val="0"/>
              <w:spacing w:before="0" w:after="283"/>
              <w:jc w:val="left"/>
              <w:rPr/>
            </w:pPr>
            <w:r>
              <w:rPr/>
              <w:t> </w:t>
            </w:r>
            <w:bookmarkStart w:id="84" w:name="xdx_402_eus-gaap--OperatingExpenses_i01T"/>
            <w:bookmarkEnd w:id="84"/>
          </w:p>
        </w:tc>
      </w:tr>
      <w:tr>
        <w:trPr/>
        <w:tc>
          <w:tcPr>
            <w:tcW w:w="46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15,608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5" w:name="xdx_405_eus-gaap--OperatingIncomeLoss_iT"/>
            <w:bookmarkEnd w:id="85"/>
          </w:p>
        </w:tc>
      </w:tr>
      <w:tr>
        <w:trPr/>
        <w:tc>
          <w:tcPr>
            <w:tcW w:w="461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(7,792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(15,608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 w:name="xdx_402_eus-gaap--NonoperatingIncomeExpe"/>
            <w:bookmarkEnd w:id="86"/>
          </w:p>
        </w:tc>
      </w:tr>
      <w:tr>
        <w:trPr/>
        <w:tc>
          <w:tcPr>
            <w:tcW w:w="461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7" w:name="xdx_408_eus-gaap--InvestmentIncomeIntere"/>
            <w:bookmarkEnd w:id="87"/>
          </w:p>
        </w:tc>
      </w:tr>
      <w:tr>
        <w:trPr/>
        <w:tc>
          <w:tcPr>
            <w:tcW w:w="461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408</w:t>
            </w:r>
          </w:p>
        </w:tc>
        <w:tc>
          <w:tcPr>
            <w:tcW w:w="110" w:type="dxa"/>
            <w:tcBorders/>
            <w:shd w:fill="CCEEFF" w:val="clear"/>
            <w:vAlign w:val="center"/>
          </w:tcPr>
          <w:p>
            <w:pPr>
              <w:pStyle w:val="TableContents"/>
              <w:bidi w:val="0"/>
              <w:spacing w:before="0" w:after="283"/>
              <w:jc w:val="left"/>
              <w:rPr/>
            </w:pPr>
            <w:r>
              <w:rPr/>
              <w:t> </w:t>
            </w:r>
            <w:bookmarkStart w:id="88" w:name="xdx_40E_ecustom--BondAccretionIncome_i01"/>
            <w:bookmarkEnd w:id="88"/>
          </w:p>
        </w:tc>
      </w:tr>
      <w:tr>
        <w:trPr/>
        <w:tc>
          <w:tcPr>
            <w:tcW w:w="4610" w:type="dxa"/>
            <w:tcBorders/>
            <w:shd w:fill="FFFFFF" w:val="clear"/>
            <w:vAlign w:val="center"/>
          </w:tcPr>
          <w:p>
            <w:pPr>
              <w:pStyle w:val="TableContents"/>
              <w:bidi w:val="0"/>
              <w:spacing w:before="0" w:after="283"/>
              <w:jc w:val="left"/>
              <w:rPr/>
            </w:pPr>
            <w:r>
              <w:rPr/>
              <w:t>Bond accretion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252</w:t>
            </w:r>
          </w:p>
        </w:tc>
        <w:tc>
          <w:tcPr>
            <w:tcW w:w="110" w:type="dxa"/>
            <w:tcBorders/>
            <w:shd w:fill="FFFFFF" w:val="clear"/>
            <w:vAlign w:val="center"/>
          </w:tcPr>
          <w:p>
            <w:pPr>
              <w:pStyle w:val="TableContents"/>
              <w:bidi w:val="0"/>
              <w:spacing w:before="0" w:after="283"/>
              <w:jc w:val="left"/>
              <w:rPr/>
            </w:pPr>
            <w:r>
              <w:rPr/>
              <w:t> </w:t>
            </w:r>
            <w:bookmarkStart w:id="89" w:name="xdx_40A_eus-gaap--NonoperatingIncomeExpe"/>
            <w:bookmarkEnd w:id="89"/>
          </w:p>
        </w:tc>
      </w:tr>
      <w:tr>
        <w:trPr/>
        <w:tc>
          <w:tcPr>
            <w:tcW w:w="4610" w:type="dxa"/>
            <w:tcBorders/>
            <w:shd w:fill="CCEEFF" w:val="clear"/>
            <w:vAlign w:val="center"/>
          </w:tcPr>
          <w:p>
            <w:pPr>
              <w:pStyle w:val="TableContents"/>
              <w:bidi w:val="0"/>
              <w:spacing w:before="0" w:after="283"/>
              <w:jc w:val="left"/>
              <w:rPr/>
            </w:pPr>
            <w:r>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660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 w:name="xdx_401_eus-gaap--NetIncomeLoss_iT_mtCzh"/>
            <w:bookmarkEnd w:id="90"/>
          </w:p>
        </w:tc>
      </w:tr>
      <w:tr>
        <w:trPr/>
        <w:tc>
          <w:tcPr>
            <w:tcW w:w="46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(14,948</w:t>
            </w:r>
          </w:p>
        </w:tc>
        <w:tc>
          <w:tcPr>
            <w:tcW w:w="110" w:type="dxa"/>
            <w:tcBorders/>
            <w:shd w:fill="CCEEFF" w:val="clear"/>
            <w:vAlign w:val="center"/>
          </w:tcPr>
          <w:p>
            <w:pPr>
              <w:pStyle w:val="TableContents"/>
              <w:bidi w:val="0"/>
              <w:spacing w:before="0" w:after="283"/>
              <w:jc w:val="left"/>
              <w:rPr>
                <w:b/>
              </w:rPr>
            </w:pPr>
            <w:r>
              <w:rPr>
                <w:b/>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1" w:name="xdx_909_eus-gaap--EarningsPerShareDilute"/>
            <w:bookmarkStart w:id="92" w:name="xdx_907_eus-gaap--EarningsPerShareBasic_"/>
            <w:bookmarkEnd w:id="91"/>
            <w:bookmarkEnd w:id="92"/>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3" w:name="xdx_900_eus-gaap--EarningsPerShareDilute"/>
            <w:bookmarkStart w:id="94" w:name="xdx_903_eus-gaap--EarningsPerShareBasic_"/>
            <w:bookmarkEnd w:id="93"/>
            <w:bookmarkEnd w:id="94"/>
            <w:r>
              <w:rPr/>
              <w:t>(0.20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5" w:name="xdx_906_eus-gaap--EarningsPerShareDilute"/>
            <w:bookmarkStart w:id="96" w:name="xdx_90E_eus-gaap--EarningsPerShareBasic_"/>
            <w:bookmarkEnd w:id="95"/>
            <w:bookmarkEnd w:id="96"/>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7" w:name="xdx_903_eus-gaap--EarningsPerShareDilute"/>
            <w:bookmarkStart w:id="98" w:name="xdx_905_eus-gaap--EarningsPerShareBasic_"/>
            <w:bookmarkEnd w:id="97"/>
            <w:bookmarkEnd w:id="98"/>
            <w:r>
              <w:rPr/>
              <w:t>(0.41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Weighted-average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9" w:name="xdx_90E_eus-gaap--WeightedAverageNumberO"/>
            <w:bookmarkStart w:id="100" w:name="xdx_90C_eus-gaap--WeightedAverageNumberO"/>
            <w:bookmarkEnd w:id="99"/>
            <w:bookmarkEnd w:id="100"/>
            <w:r>
              <w:rPr/>
              <w:t>44,959,426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1" w:name="xdx_90A_eus-gaap--WeightedAverageNumberO"/>
            <w:bookmarkStart w:id="102" w:name="xdx_903_eus-gaap--WeightedAverageNumberO"/>
            <w:bookmarkEnd w:id="101"/>
            <w:bookmarkEnd w:id="102"/>
            <w:r>
              <w:rPr/>
              <w:t>37,946,330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3" w:name="xdx_90C_eus-gaap--WeightedAverageNumberO"/>
            <w:bookmarkStart w:id="104" w:name="xdx_902_eus-gaap--WeightedAverageNumberO"/>
            <w:bookmarkEnd w:id="103"/>
            <w:bookmarkEnd w:id="104"/>
            <w:r>
              <w:rPr/>
              <w:t>44,557,426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5" w:name="xdx_906_eus-gaap--WeightedAverageNumberO"/>
            <w:bookmarkStart w:id="106" w:name="xdx_908_eus-gaap--WeightedAverageNumberO"/>
            <w:bookmarkEnd w:id="105"/>
            <w:bookmarkEnd w:id="106"/>
            <w:r>
              <w:rPr/>
              <w:t>36,346,125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 w:name="xdx_40B_eus-gaap--OtherComprehensiveInco"/>
            <w:bookmarkEnd w:id="107"/>
          </w:p>
        </w:tc>
      </w:tr>
      <w:tr>
        <w:trPr/>
        <w:tc>
          <w:tcPr>
            <w:tcW w:w="4610"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6_eus-gaap--UnrealizedGainLossOnIn"/>
            <w:bookmarkEnd w:id="108"/>
          </w:p>
        </w:tc>
      </w:tr>
      <w:tr>
        <w:trPr/>
        <w:tc>
          <w:tcPr>
            <w:tcW w:w="4610" w:type="dxa"/>
            <w:tcBorders/>
            <w:shd w:fill="FFFFFF" w:val="clear"/>
            <w:vAlign w:val="center"/>
          </w:tcPr>
          <w:p>
            <w:pPr>
              <w:pStyle w:val="TableContents"/>
              <w:bidi w:val="0"/>
              <w:spacing w:before="0" w:after="283"/>
              <w:jc w:val="left"/>
              <w:rPr/>
            </w:pPr>
            <w:r>
              <w:rPr/>
              <w:t>Net unrealized gain (loss) on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109" w:name="xdx_404_eus-gaap--ComprehensiveIncomeNet"/>
            <w:bookmarkEnd w:id="109"/>
          </w:p>
        </w:tc>
      </w:tr>
      <w:tr>
        <w:trPr/>
        <w:tc>
          <w:tcPr>
            <w:tcW w:w="4610"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(15,009</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jc w:val="center"/>
        <w:rPr>
          <w:rFonts w:ascii="Times New Roman;Times;Serif" w:hAnsi="Times New Roman;Times;Serif"/>
          <w:b/>
          <w:i w:val="false"/>
          <w:caps w:val="false"/>
          <w:smallCaps w:val="false"/>
          <w:sz w:val="20"/>
        </w:rPr>
      </w:pPr>
      <w:bookmarkStart w:id="110" w:name="pp_005"/>
      <w:bookmarkEnd w:id="110"/>
      <w:r>
        <w:rPr>
          <w:rFonts w:ascii="Times New Roman;Times;Serif" w:hAnsi="Times New Roman;Times;Serif"/>
          <w:b/>
          <w:i w:val="false"/>
          <w:caps w:val="false"/>
          <w:smallCaps w:val="false"/>
          <w:sz w:val="20"/>
        </w:rPr>
        <w:t>Condensed Statements of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1" w:name="xdx_304_114_pn3n3_zk01eVNLyoHh"/>
      <w:bookmarkStart w:id="112" w:name="xdx_304_114_pn3n3_zk01eVNLyoHh"/>
      <w:bookmarkEnd w:id="112"/>
    </w:p>
    <w:tbl>
      <w:tblPr>
        <w:tblW w:w="10745" w:type="dxa"/>
        <w:jc w:val="left"/>
        <w:tblInd w:w="0" w:type="dxa"/>
        <w:tblLayout w:type="fixed"/>
        <w:tblCellMar>
          <w:top w:w="0" w:type="dxa"/>
          <w:left w:w="0" w:type="dxa"/>
          <w:bottom w:w="0" w:type="dxa"/>
          <w:right w:w="0" w:type="dxa"/>
        </w:tblCellMar>
      </w:tblPr>
      <w:tblGrid>
        <w:gridCol w:w="1310"/>
        <w:gridCol w:w="60"/>
        <w:gridCol w:w="60"/>
        <w:gridCol w:w="1100"/>
        <w:gridCol w:w="60"/>
        <w:gridCol w:w="60"/>
        <w:gridCol w:w="301"/>
        <w:gridCol w:w="559"/>
        <w:gridCol w:w="60"/>
        <w:gridCol w:w="60"/>
        <w:gridCol w:w="60"/>
        <w:gridCol w:w="875"/>
        <w:gridCol w:w="95"/>
        <w:gridCol w:w="60"/>
        <w:gridCol w:w="202"/>
        <w:gridCol w:w="658"/>
        <w:gridCol w:w="95"/>
        <w:gridCol w:w="60"/>
        <w:gridCol w:w="140"/>
        <w:gridCol w:w="800"/>
        <w:gridCol w:w="60"/>
        <w:gridCol w:w="60"/>
        <w:gridCol w:w="424"/>
        <w:gridCol w:w="916"/>
        <w:gridCol w:w="95"/>
        <w:gridCol w:w="60"/>
        <w:gridCol w:w="188"/>
        <w:gridCol w:w="1182"/>
        <w:gridCol w:w="95"/>
        <w:gridCol w:w="60"/>
        <w:gridCol w:w="140"/>
        <w:gridCol w:w="680"/>
        <w:gridCol w:w="110"/>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B5_us-gaap--StatementEquityComponen"/>
            <w:bookmarkEnd w:id="11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B4_us-gaap--StatementEquityComponen"/>
            <w:bookmarkEnd w:id="11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B4_us-gaap--StatementEquityComponen"/>
            <w:bookmarkEnd w:id="115"/>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4_us-gaap--StatementEquityComponen"/>
            <w:bookmarkEnd w:id="116"/>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C_us-gaap--StatementEquityComponen"/>
            <w:bookmarkEnd w:id="11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D_zDs7yAwYicre"/>
            <w:bookmarkEnd w:id="118"/>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119" w:name="xdx_43A_c20260101__20260331_eus-gaap--St"/>
            <w:bookmarkEnd w:id="119"/>
          </w:p>
        </w:tc>
      </w:tr>
      <w:tr>
        <w:trPr/>
        <w:tc>
          <w:tcPr>
            <w:tcW w:w="131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 w:name="xdx_98C_eus-gaap--SharesOutstanding_iS_p"/>
            <w:bookmarkEnd w:id="120"/>
          </w:p>
        </w:tc>
        <w:tc>
          <w:tcPr>
            <w:tcW w:w="1100" w:type="dxa"/>
            <w:tcBorders/>
            <w:shd w:fill="CCEEFF" w:val="clear"/>
            <w:vAlign w:val="center"/>
          </w:tcPr>
          <w:p>
            <w:pPr>
              <w:pStyle w:val="TableContents"/>
              <w:bidi w:val="0"/>
              <w:spacing w:before="0" w:after="283"/>
              <w:jc w:val="right"/>
              <w:rPr>
                <w:b/>
              </w:rPr>
            </w:pPr>
            <w:r>
              <w:rPr>
                <w:b/>
              </w:rPr>
              <w:t>38,139,144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0_eus-gaap--TreasuryStockCommonSha"/>
            <w:bookmarkEnd w:id="121"/>
          </w:p>
        </w:tc>
        <w:tc>
          <w:tcPr>
            <w:tcW w:w="875" w:type="dxa"/>
            <w:tcBorders/>
            <w:shd w:fill="CCEEFF" w:val="cle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658" w:type="dxa"/>
            <w:tcBorders/>
            <w:shd w:fill="CCEEFF" w:val="cle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295,468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(283,538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11,544</w:t>
            </w:r>
          </w:p>
        </w:tc>
        <w:tc>
          <w:tcPr>
            <w:tcW w:w="110" w:type="dxa"/>
            <w:tcBorders/>
            <w:shd w:fill="CCEEFF" w:val="clear"/>
            <w:vAlign w:val="center"/>
          </w:tcPr>
          <w:p>
            <w:pPr>
              <w:pStyle w:val="TableContents"/>
              <w:bidi w:val="0"/>
              <w:spacing w:before="0" w:after="283"/>
              <w:jc w:val="left"/>
              <w:rPr/>
            </w:pPr>
            <w:r>
              <w:rPr/>
              <w:t> </w:t>
            </w:r>
            <w:bookmarkStart w:id="122" w:name="xdx_408_eus-gaap--AdjustmentsToAdditiona"/>
            <w:bookmarkEnd w:id="122"/>
          </w:p>
        </w:tc>
      </w:tr>
      <w:tr>
        <w:trPr/>
        <w:tc>
          <w:tcPr>
            <w:tcW w:w="1310"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1,394</w:t>
            </w:r>
          </w:p>
        </w:tc>
        <w:tc>
          <w:tcPr>
            <w:tcW w:w="110" w:type="dxa"/>
            <w:tcBorders/>
            <w:shd w:fill="FFFFFF" w:val="clear"/>
            <w:vAlign w:val="center"/>
          </w:tcPr>
          <w:p>
            <w:pPr>
              <w:pStyle w:val="TableContents"/>
              <w:bidi w:val="0"/>
              <w:spacing w:before="0" w:after="283"/>
              <w:jc w:val="left"/>
              <w:rPr/>
            </w:pPr>
            <w:r>
              <w:rPr/>
              <w:t> </w:t>
            </w:r>
            <w:bookmarkStart w:id="123" w:name="xdx_402_eus-gaap--OtherComprehensiveInco"/>
            <w:bookmarkEnd w:id="123"/>
          </w:p>
        </w:tc>
      </w:tr>
      <w:tr>
        <w:trPr/>
        <w:tc>
          <w:tcPr>
            <w:tcW w:w="1310" w:type="dxa"/>
            <w:tcBorders/>
            <w:shd w:fill="CCEEFF" w:val="clear"/>
            <w:vAlign w:val="center"/>
          </w:tcPr>
          <w:p>
            <w:pPr>
              <w:pStyle w:val="TableContents"/>
              <w:bidi w:val="0"/>
              <w:spacing w:before="0" w:after="283"/>
              <w:jc w:val="left"/>
              <w:rPr/>
            </w:pPr>
            <w:r>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bookmarkStart w:id="124" w:name="xdx_403_eus-gaap--StockIssuedDuringPerio"/>
            <w:bookmarkEnd w:id="124"/>
          </w:p>
        </w:tc>
      </w:tr>
      <w:tr>
        <w:trPr/>
        <w:tc>
          <w:tcPr>
            <w:tcW w:w="1310" w:type="dxa"/>
            <w:tcBorders/>
            <w:shd w:fill="FFFFFF" w:val="clear"/>
            <w:vAlign w:val="center"/>
          </w:tcPr>
          <w:p>
            <w:pPr>
              <w:pStyle w:val="TableContents"/>
              <w:bidi w:val="0"/>
              <w:spacing w:before="0" w:after="283"/>
              <w:jc w:val="left"/>
              <w:rPr/>
            </w:pPr>
            <w:r>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 w:name="xdx_985_eus-gaap--StockIssuedDuringPerio"/>
            <w:bookmarkEnd w:id="125"/>
          </w:p>
        </w:tc>
        <w:tc>
          <w:tcPr>
            <w:tcW w:w="1100" w:type="dxa"/>
            <w:tcBorders/>
            <w:shd w:fill="FFFFFF" w:val="clear"/>
            <w:vAlign w:val="center"/>
          </w:tcPr>
          <w:p>
            <w:pPr>
              <w:pStyle w:val="TableContents"/>
              <w:bidi w:val="0"/>
              <w:spacing w:before="0" w:after="283"/>
              <w:jc w:val="right"/>
              <w:rPr/>
            </w:pPr>
            <w:r>
              <w:rPr/>
              <w:t>29,063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319</w:t>
            </w:r>
          </w:p>
        </w:tc>
        <w:tc>
          <w:tcPr>
            <w:tcW w:w="110" w:type="dxa"/>
            <w:tcBorders/>
            <w:shd w:fill="FFFFFF" w:val="clear"/>
            <w:vAlign w:val="center"/>
          </w:tcPr>
          <w:p>
            <w:pPr>
              <w:pStyle w:val="TableContents"/>
              <w:bidi w:val="0"/>
              <w:spacing w:before="0" w:after="283"/>
              <w:jc w:val="left"/>
              <w:rPr/>
            </w:pPr>
            <w:r>
              <w:rPr/>
              <w:t> </w:t>
            </w:r>
            <w:bookmarkStart w:id="126" w:name="xdx_409_ecustom--AdjustmentsToAdditional"/>
            <w:bookmarkEnd w:id="126"/>
          </w:p>
        </w:tc>
      </w:tr>
      <w:tr>
        <w:trPr/>
        <w:tc>
          <w:tcPr>
            <w:tcW w:w="1310" w:type="dxa"/>
            <w:tcBorders/>
            <w:shd w:fill="CCEEFF" w:val="clear"/>
            <w:vAlign w:val="center"/>
          </w:tcPr>
          <w:p>
            <w:pPr>
              <w:pStyle w:val="TableContents"/>
              <w:bidi w:val="0"/>
              <w:spacing w:before="0" w:after="283"/>
              <w:jc w:val="left"/>
              <w:rPr/>
            </w:pPr>
            <w:r>
              <w:rPr/>
              <w:t>Cost of stock option modifications and repricing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 </w:t>
            </w:r>
            <w:bookmarkStart w:id="127" w:name="xdx_40C_eus-gaap--StockIssuedDuringPerio"/>
            <w:bookmarkEnd w:id="127"/>
          </w:p>
        </w:tc>
      </w:tr>
      <w:tr>
        <w:trPr/>
        <w:tc>
          <w:tcPr>
            <w:tcW w:w="1310" w:type="dxa"/>
            <w:tcBorders/>
            <w:shd w:fill="FFFFFF" w:val="clear"/>
            <w:vAlign w:val="center"/>
          </w:tcPr>
          <w:p>
            <w:pPr>
              <w:pStyle w:val="TableContents"/>
              <w:bidi w:val="0"/>
              <w:spacing w:before="0" w:after="283"/>
              <w:jc w:val="left"/>
              <w:rPr/>
            </w:pPr>
            <w:r>
              <w:rPr/>
              <w:t>Issuance of common stock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8" w:name="xdx_98E_eus-gaap--StockIssuedDuringPerio"/>
            <w:bookmarkEnd w:id="128"/>
          </w:p>
        </w:tc>
        <w:tc>
          <w:tcPr>
            <w:tcW w:w="1100" w:type="dxa"/>
            <w:tcBorders/>
            <w:shd w:fill="FFFFFF" w:val="clear"/>
            <w:vAlign w:val="center"/>
          </w:tcPr>
          <w:p>
            <w:pPr>
              <w:pStyle w:val="TableContents"/>
              <w:bidi w:val="0"/>
              <w:spacing w:before="0" w:after="283"/>
              <w:jc w:val="right"/>
              <w:rPr/>
            </w:pPr>
            <w:r>
              <w:rPr/>
              <w:t>6,666,667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18,525</w:t>
            </w:r>
          </w:p>
        </w:tc>
        <w:tc>
          <w:tcPr>
            <w:tcW w:w="110" w:type="dxa"/>
            <w:tcBorders/>
            <w:shd w:fill="FFFFFF" w:val="clear"/>
            <w:vAlign w:val="center"/>
          </w:tcPr>
          <w:p>
            <w:pPr>
              <w:pStyle w:val="TableContents"/>
              <w:bidi w:val="0"/>
              <w:spacing w:before="0" w:after="283"/>
              <w:jc w:val="left"/>
              <w:rPr/>
            </w:pPr>
            <w:r>
              <w:rPr/>
              <w:t> </w:t>
            </w:r>
            <w:bookmarkStart w:id="129" w:name="xdx_40D_eus-gaap--StockIssuedDuringPerio"/>
            <w:bookmarkEnd w:id="129"/>
          </w:p>
        </w:tc>
      </w:tr>
      <w:tr>
        <w:trPr/>
        <w:tc>
          <w:tcPr>
            <w:tcW w:w="1310" w:type="dxa"/>
            <w:tcBorders/>
            <w:shd w:fill="CCEEFF" w:val="clear"/>
            <w:vAlign w:val="center"/>
          </w:tcPr>
          <w:p>
            <w:pPr>
              <w:pStyle w:val="TableContents"/>
              <w:bidi w:val="0"/>
              <w:spacing w:before="0" w:after="283"/>
              <w:jc w:val="left"/>
              <w:rPr/>
            </w:pPr>
            <w:r>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0" w:name="xdx_983_eus-gaap--StockIssuedDuringPerio"/>
            <w:bookmarkEnd w:id="130"/>
          </w:p>
        </w:tc>
        <w:tc>
          <w:tcPr>
            <w:tcW w:w="1100" w:type="dxa"/>
            <w:tcBorders/>
            <w:shd w:fill="CCEEFF" w:val="clear"/>
            <w:vAlign w:val="center"/>
          </w:tcPr>
          <w:p>
            <w:pPr>
              <w:pStyle w:val="TableContents"/>
              <w:bidi w:val="0"/>
              <w:spacing w:before="0" w:after="283"/>
              <w:jc w:val="right"/>
              <w:rPr/>
            </w:pPr>
            <w:r>
              <w:rPr/>
              <w:t>5,542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131" w:name="xdx_404_eus-gaap--NetIncomeLoss_zjiPPKii"/>
            <w:bookmarkEnd w:id="131"/>
          </w:p>
        </w:tc>
      </w:tr>
      <w:tr>
        <w:trPr/>
        <w:tc>
          <w:tcPr>
            <w:tcW w:w="1310" w:type="dxa"/>
            <w:tcBorders/>
            <w:shd w:fill="FFFFFF" w:val="clear"/>
            <w:vAlign w:val="center"/>
          </w:tcPr>
          <w:p>
            <w:pPr>
              <w:pStyle w:val="TableContents"/>
              <w:bidi w:val="0"/>
              <w:spacing w:before="0" w:after="283"/>
              <w:jc w:val="left"/>
              <w:rPr/>
            </w:pPr>
            <w:r>
              <w:rPr/>
              <w:t>Net loss during the three months ended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(8,928</w:t>
            </w:r>
          </w:p>
        </w:tc>
        <w:tc>
          <w:tcPr>
            <w:tcW w:w="110" w:type="dxa"/>
            <w:tcBorders/>
            <w:shd w:fill="FFFFFF" w:val="clear"/>
            <w:vAlign w:val="center"/>
          </w:tcPr>
          <w:p>
            <w:pPr>
              <w:pStyle w:val="TableContents"/>
              <w:bidi w:val="0"/>
              <w:spacing w:before="0" w:after="283"/>
              <w:jc w:val="left"/>
              <w:rPr/>
            </w:pPr>
            <w:r>
              <w:rPr/>
              <w:t>)</w:t>
            </w:r>
            <w:bookmarkStart w:id="132" w:name="xdx_432_c20260401__20260630_eus-gaap--St"/>
            <w:bookmarkEnd w:id="132"/>
          </w:p>
        </w:tc>
      </w:tr>
      <w:tr>
        <w:trPr/>
        <w:tc>
          <w:tcPr>
            <w:tcW w:w="131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3" w:name="xdx_986_eus-gaap--SharesOutstanding_iS_p"/>
            <w:bookmarkEnd w:id="13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44,840,416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4" w:name="xdx_985_eus-gaap--TreasuryStockCommonSha"/>
            <w:bookmarkEnd w:id="134"/>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315,780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(292,466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22,921</w:t>
            </w:r>
          </w:p>
        </w:tc>
        <w:tc>
          <w:tcPr>
            <w:tcW w:w="110" w:type="dxa"/>
            <w:tcBorders/>
            <w:shd w:fill="CCEEFF" w:val="clear"/>
            <w:vAlign w:val="center"/>
          </w:tcPr>
          <w:p>
            <w:pPr>
              <w:pStyle w:val="TableContents"/>
              <w:bidi w:val="0"/>
              <w:spacing w:before="0" w:after="283"/>
              <w:jc w:val="left"/>
              <w:rPr/>
            </w:pPr>
            <w:r>
              <w:rPr/>
              <w:t> </w:t>
            </w:r>
            <w:bookmarkStart w:id="135" w:name="xdx_401_eus-gaap--AdjustmentsToAdditiona"/>
            <w:bookmarkEnd w:id="135"/>
          </w:p>
        </w:tc>
      </w:tr>
      <w:tr>
        <w:trPr/>
        <w:tc>
          <w:tcPr>
            <w:tcW w:w="1310"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1,417</w:t>
            </w:r>
          </w:p>
        </w:tc>
        <w:tc>
          <w:tcPr>
            <w:tcW w:w="110" w:type="dxa"/>
            <w:tcBorders/>
            <w:shd w:fill="FFFFFF" w:val="clear"/>
            <w:vAlign w:val="center"/>
          </w:tcPr>
          <w:p>
            <w:pPr>
              <w:pStyle w:val="TableContents"/>
              <w:bidi w:val="0"/>
              <w:spacing w:before="0" w:after="283"/>
              <w:jc w:val="left"/>
              <w:rPr/>
            </w:pPr>
            <w:r>
              <w:rPr/>
              <w:t> </w:t>
            </w:r>
            <w:bookmarkStart w:id="136" w:name="xdx_402_eus-gaap--OtherComprehensiveInco"/>
            <w:bookmarkEnd w:id="136"/>
          </w:p>
        </w:tc>
      </w:tr>
      <w:tr>
        <w:trPr/>
        <w:tc>
          <w:tcPr>
            <w:tcW w:w="1310" w:type="dxa"/>
            <w:tcBorders/>
            <w:shd w:fill="CCEEFF" w:val="clear"/>
            <w:vAlign w:val="center"/>
          </w:tcPr>
          <w:p>
            <w:pPr>
              <w:pStyle w:val="TableContents"/>
              <w:bidi w:val="0"/>
              <w:spacing w:before="0" w:after="283"/>
              <w:jc w:val="left"/>
              <w:rPr/>
            </w:pPr>
            <w:r>
              <w:rPr/>
              <w:t>Unrealized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bookmarkStart w:id="137" w:name="xdx_403_eus-gaap--StockIssuedDuringPerio"/>
            <w:bookmarkEnd w:id="137"/>
          </w:p>
        </w:tc>
      </w:tr>
      <w:tr>
        <w:trPr/>
        <w:tc>
          <w:tcPr>
            <w:tcW w:w="1310" w:type="dxa"/>
            <w:tcBorders/>
            <w:shd w:fill="FFFFFF" w:val="clear"/>
            <w:vAlign w:val="center"/>
          </w:tcPr>
          <w:p>
            <w:pPr>
              <w:pStyle w:val="TableContents"/>
              <w:bidi w:val="0"/>
              <w:spacing w:before="0" w:after="283"/>
              <w:jc w:val="left"/>
              <w:rPr/>
            </w:pPr>
            <w:r>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8_eus-gaap--StockIssuedDuringPerio"/>
            <w:bookmarkEnd w:id="138"/>
          </w:p>
        </w:tc>
        <w:tc>
          <w:tcPr>
            <w:tcW w:w="1100" w:type="dxa"/>
            <w:tcBorders/>
            <w:shd w:fill="FFFFFF" w:val="clear"/>
            <w:vAlign w:val="center"/>
          </w:tcPr>
          <w:p>
            <w:pPr>
              <w:pStyle w:val="TableContents"/>
              <w:bidi w:val="0"/>
              <w:spacing w:before="0" w:after="283"/>
              <w:jc w:val="right"/>
              <w:rPr/>
            </w:pPr>
            <w:r>
              <w:rPr/>
              <w:t>123,965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bookmarkStart w:id="139" w:name="xdx_409_ecustom--AdjustmentsToAdditional"/>
            <w:bookmarkEnd w:id="139"/>
          </w:p>
        </w:tc>
      </w:tr>
      <w:tr>
        <w:trPr/>
        <w:tc>
          <w:tcPr>
            <w:tcW w:w="1310" w:type="dxa"/>
            <w:tcBorders/>
            <w:shd w:fill="CCEEFF" w:val="clear"/>
            <w:vAlign w:val="center"/>
          </w:tcPr>
          <w:p>
            <w:pPr>
              <w:pStyle w:val="TableContents"/>
              <w:bidi w:val="0"/>
              <w:spacing w:before="0" w:after="283"/>
              <w:jc w:val="left"/>
              <w:rPr/>
            </w:pPr>
            <w:r>
              <w:rPr/>
              <w:t>Cost of stock option modifications and repricing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 </w:t>
            </w:r>
            <w:bookmarkStart w:id="140" w:name="xdx_40C_eus-gaap--StockIssuedDuringPerio"/>
            <w:bookmarkEnd w:id="140"/>
          </w:p>
        </w:tc>
      </w:tr>
      <w:tr>
        <w:trPr/>
        <w:tc>
          <w:tcPr>
            <w:tcW w:w="1310" w:type="dxa"/>
            <w:tcBorders/>
            <w:shd w:fill="FFFFFF" w:val="clear"/>
            <w:vAlign w:val="center"/>
          </w:tcPr>
          <w:p>
            <w:pPr>
              <w:pStyle w:val="TableContents"/>
              <w:bidi w:val="0"/>
              <w:spacing w:before="0" w:after="283"/>
              <w:jc w:val="left"/>
              <w:rPr/>
            </w:pPr>
            <w:r>
              <w:rPr/>
              <w:t>Issuance of common stock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1" w:name="xdx_982_eus-gaap--StockIssuedDuringPerio"/>
            <w:bookmarkEnd w:id="141"/>
          </w:p>
        </w:tc>
        <w:tc>
          <w:tcPr>
            <w:tcW w:w="1100" w:type="dxa"/>
            <w:tcBorders/>
            <w:shd w:fill="FFFFFF" w:val="clear"/>
            <w:vAlign w:val="center"/>
          </w:tcPr>
          <w:p>
            <w:pPr>
              <w:pStyle w:val="TableContents"/>
              <w:bidi w:val="0"/>
              <w:spacing w:before="0" w:after="283"/>
              <w:jc w:val="right"/>
              <w:rPr/>
            </w:pPr>
            <w:r>
              <w:rPr/>
              <w:t>120,087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bookmarkStart w:id="142" w:name="xdx_40D_ecustom--StockIssuedDuringPeriod"/>
            <w:bookmarkEnd w:id="142"/>
          </w:p>
        </w:tc>
      </w:tr>
      <w:tr>
        <w:trPr/>
        <w:tc>
          <w:tcPr>
            <w:tcW w:w="1310" w:type="dxa"/>
            <w:tcBorders/>
            <w:shd w:fill="CCEEFF" w:val="clear"/>
            <w:vAlign w:val="center"/>
          </w:tcPr>
          <w:p>
            <w:pPr>
              <w:pStyle w:val="TableContents"/>
              <w:bidi w:val="0"/>
              <w:spacing w:before="0" w:after="283"/>
              <w:jc w:val="left"/>
              <w:rPr/>
            </w:pPr>
            <w:r>
              <w:rPr/>
              <w:t>Common stock issued under equity award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3" w:name="xdx_98E_ecustom--StockIssuedDuringPeriod"/>
            <w:bookmarkEnd w:id="143"/>
          </w:p>
        </w:tc>
        <w:tc>
          <w:tcPr>
            <w:tcW w:w="1100" w:type="dxa"/>
            <w:tcBorders/>
            <w:shd w:fill="CCEEFF" w:val="clear"/>
            <w:vAlign w:val="center"/>
          </w:tcPr>
          <w:p>
            <w:pPr>
              <w:pStyle w:val="TableContents"/>
              <w:bidi w:val="0"/>
              <w:spacing w:before="0" w:after="283"/>
              <w:jc w:val="right"/>
              <w:rPr/>
            </w:pPr>
            <w:r>
              <w:rPr/>
              <w:t>18,993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 </w:t>
            </w:r>
            <w:bookmarkStart w:id="144" w:name="xdx_404_eus-gaap--NetIncomeLoss_zfIomSPv"/>
            <w:bookmarkEnd w:id="144"/>
          </w:p>
        </w:tc>
      </w:tr>
      <w:tr>
        <w:trPr/>
        <w:tc>
          <w:tcPr>
            <w:tcW w:w="1310" w:type="dxa"/>
            <w:tcBorders/>
            <w:shd w:fill="FFFFFF" w:val="clear"/>
            <w:vAlign w:val="center"/>
          </w:tcPr>
          <w:p>
            <w:pPr>
              <w:pStyle w:val="TableContents"/>
              <w:bidi w:val="0"/>
              <w:spacing w:before="0" w:after="283"/>
              <w:jc w:val="left"/>
              <w:rPr/>
            </w:pPr>
            <w:r>
              <w:rPr/>
              <w:t>Net loss during the three months ended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(9,471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(9,471</w:t>
            </w:r>
          </w:p>
        </w:tc>
        <w:tc>
          <w:tcPr>
            <w:tcW w:w="110" w:type="dxa"/>
            <w:tcBorders/>
            <w:shd w:fill="FFFFFF" w:val="clear"/>
            <w:vAlign w:val="center"/>
          </w:tcPr>
          <w:p>
            <w:pPr>
              <w:pStyle w:val="TableContents"/>
              <w:bidi w:val="0"/>
              <w:spacing w:before="0" w:after="283"/>
              <w:jc w:val="left"/>
              <w:rPr/>
            </w:pPr>
            <w:r>
              <w:rPr/>
              <w:t>)</w:t>
            </w:r>
            <w:bookmarkStart w:id="145" w:name="xdx_430_c20260401__20260630_eus-gaap--St"/>
            <w:bookmarkEnd w:id="145"/>
          </w:p>
        </w:tc>
      </w:tr>
      <w:tr>
        <w:trPr/>
        <w:tc>
          <w:tcPr>
            <w:tcW w:w="1310" w:type="dxa"/>
            <w:tcBorders/>
            <w:shd w:fill="CCEEFF" w:val="clear"/>
            <w:vAlign w:val="center"/>
          </w:tcPr>
          <w:p>
            <w:pPr>
              <w:pStyle w:val="TableContents"/>
              <w:bidi w:val="0"/>
              <w:spacing w:before="0" w:after="283"/>
              <w:jc w:val="left"/>
              <w:rPr>
                <w:b/>
              </w:rPr>
            </w:pPr>
            <w:r>
              <w:rPr>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 w:name="xdx_980_eus-gaap--SharesOutstanding_iE_p"/>
            <w:bookmarkEnd w:id="14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45,103,461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7" w:name="xdx_989_eus-gaap--TreasuryStockCommonSha"/>
            <w:bookmarkEnd w:id="147"/>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318,440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(301,937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175" w:type="dxa"/>
        <w:jc w:val="left"/>
        <w:tblInd w:w="0" w:type="dxa"/>
        <w:tblLayout w:type="fixed"/>
        <w:tblCellMar>
          <w:top w:w="0" w:type="dxa"/>
          <w:left w:w="0" w:type="dxa"/>
          <w:bottom w:w="0" w:type="dxa"/>
          <w:right w:w="0" w:type="dxa"/>
        </w:tblCellMar>
      </w:tblPr>
      <w:tblGrid>
        <w:gridCol w:w="1310"/>
        <w:gridCol w:w="60"/>
        <w:gridCol w:w="60"/>
        <w:gridCol w:w="1100"/>
        <w:gridCol w:w="60"/>
        <w:gridCol w:w="60"/>
        <w:gridCol w:w="301"/>
        <w:gridCol w:w="559"/>
        <w:gridCol w:w="60"/>
        <w:gridCol w:w="60"/>
        <w:gridCol w:w="60"/>
        <w:gridCol w:w="875"/>
        <w:gridCol w:w="95"/>
        <w:gridCol w:w="60"/>
        <w:gridCol w:w="202"/>
        <w:gridCol w:w="658"/>
        <w:gridCol w:w="95"/>
        <w:gridCol w:w="60"/>
        <w:gridCol w:w="163"/>
        <w:gridCol w:w="937"/>
        <w:gridCol w:w="60"/>
        <w:gridCol w:w="60"/>
        <w:gridCol w:w="597"/>
        <w:gridCol w:w="1013"/>
        <w:gridCol w:w="95"/>
        <w:gridCol w:w="60"/>
        <w:gridCol w:w="188"/>
        <w:gridCol w:w="1182"/>
        <w:gridCol w:w="95"/>
        <w:gridCol w:w="60"/>
        <w:gridCol w:w="140"/>
        <w:gridCol w:w="680"/>
        <w:gridCol w:w="110"/>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148" w:name="xdx_438_c20250101__20250331_eus-gaap--St"/>
            <w:bookmarkEnd w:id="148"/>
          </w:p>
        </w:tc>
      </w:tr>
      <w:tr>
        <w:trPr/>
        <w:tc>
          <w:tcPr>
            <w:tcW w:w="131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F_eus-gaap--SharesOutstanding_iS_p"/>
            <w:bookmarkEnd w:id="149"/>
          </w:p>
        </w:tc>
        <w:tc>
          <w:tcPr>
            <w:tcW w:w="1100" w:type="dxa"/>
            <w:tcBorders/>
            <w:shd w:fill="CCEEFF" w:val="clear"/>
            <w:vAlign w:val="center"/>
          </w:tcPr>
          <w:p>
            <w:pPr>
              <w:pStyle w:val="TableContents"/>
              <w:bidi w:val="0"/>
              <w:spacing w:before="0" w:after="283"/>
              <w:jc w:val="right"/>
              <w:rPr>
                <w:b/>
              </w:rPr>
            </w:pPr>
            <w:r>
              <w:rPr>
                <w:b/>
              </w:rPr>
              <w:t>34,728,140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1_eus-gaap--TreasuryStockCommonSha"/>
            <w:bookmarkEnd w:id="150"/>
          </w:p>
        </w:tc>
        <w:tc>
          <w:tcPr>
            <w:tcW w:w="875" w:type="dxa"/>
            <w:tcBorders/>
            <w:shd w:fill="CCEEFF" w:val="cle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658" w:type="dxa"/>
            <w:tcBorders/>
            <w:shd w:fill="CCEEFF" w:val="cle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278,001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b/>
              </w:rPr>
            </w:pPr>
            <w:r>
              <w:rPr>
                <w:b/>
              </w:rPr>
              <w:t>$</w:t>
            </w:r>
          </w:p>
        </w:tc>
        <w:tc>
          <w:tcPr>
            <w:tcW w:w="1013" w:type="dxa"/>
            <w:tcBorders/>
            <w:shd w:fill="CCEEFF" w:val="clear"/>
            <w:vAlign w:val="center"/>
          </w:tcPr>
          <w:p>
            <w:pPr>
              <w:pStyle w:val="TableContents"/>
              <w:bidi w:val="0"/>
              <w:spacing w:before="0" w:after="283"/>
              <w:jc w:val="right"/>
              <w:rPr>
                <w:b/>
              </w:rPr>
            </w:pPr>
            <w:r>
              <w:rPr>
                <w:b/>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(251,393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26,274</w:t>
            </w:r>
          </w:p>
        </w:tc>
        <w:tc>
          <w:tcPr>
            <w:tcW w:w="110" w:type="dxa"/>
            <w:tcBorders/>
            <w:shd w:fill="CCEEFF" w:val="clear"/>
            <w:vAlign w:val="center"/>
          </w:tcPr>
          <w:p>
            <w:pPr>
              <w:pStyle w:val="TableContents"/>
              <w:bidi w:val="0"/>
              <w:spacing w:before="0" w:after="283"/>
              <w:jc w:val="left"/>
              <w:rPr/>
            </w:pPr>
            <w:r>
              <w:rPr/>
              <w:t> </w:t>
            </w:r>
            <w:bookmarkStart w:id="151" w:name="xdx_404_eus-gaap--AdjustmentsToAdditiona"/>
            <w:bookmarkEnd w:id="151"/>
          </w:p>
        </w:tc>
      </w:tr>
      <w:tr>
        <w:trPr/>
        <w:tc>
          <w:tcPr>
            <w:tcW w:w="1310"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1,423</w:t>
            </w:r>
          </w:p>
        </w:tc>
        <w:tc>
          <w:tcPr>
            <w:tcW w:w="110" w:type="dxa"/>
            <w:tcBorders/>
            <w:shd w:fill="FFFFFF" w:val="clear"/>
            <w:vAlign w:val="center"/>
          </w:tcPr>
          <w:p>
            <w:pPr>
              <w:pStyle w:val="TableContents"/>
              <w:bidi w:val="0"/>
              <w:spacing w:before="0" w:after="283"/>
              <w:jc w:val="left"/>
              <w:rPr/>
            </w:pPr>
            <w:r>
              <w:rPr/>
              <w:t> </w:t>
            </w:r>
            <w:bookmarkStart w:id="152" w:name="xdx_405_eus-gaap--OtherComprehensiveInco"/>
            <w:bookmarkEnd w:id="152"/>
          </w:p>
        </w:tc>
      </w:tr>
      <w:tr>
        <w:trPr/>
        <w:tc>
          <w:tcPr>
            <w:tcW w:w="1310" w:type="dxa"/>
            <w:tcBorders/>
            <w:shd w:fill="CCEEFF" w:val="clear"/>
            <w:vAlign w:val="center"/>
          </w:tcPr>
          <w:p>
            <w:pPr>
              <w:pStyle w:val="TableContents"/>
              <w:bidi w:val="0"/>
              <w:spacing w:before="0" w:after="283"/>
              <w:jc w:val="left"/>
              <w:rPr/>
            </w:pPr>
            <w:r>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bookmarkStart w:id="153" w:name="xdx_403_eus-gaap--StockIssuedDuringPerio"/>
            <w:bookmarkEnd w:id="153"/>
          </w:p>
        </w:tc>
      </w:tr>
      <w:tr>
        <w:trPr/>
        <w:tc>
          <w:tcPr>
            <w:tcW w:w="1310" w:type="dxa"/>
            <w:tcBorders/>
            <w:shd w:fill="FFFFFF" w:val="clear"/>
            <w:vAlign w:val="center"/>
          </w:tcPr>
          <w:p>
            <w:pPr>
              <w:pStyle w:val="TableContents"/>
              <w:bidi w:val="0"/>
              <w:spacing w:before="0" w:after="283"/>
              <w:jc w:val="left"/>
              <w:rPr/>
            </w:pPr>
            <w:r>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103</w:t>
            </w:r>
          </w:p>
        </w:tc>
        <w:tc>
          <w:tcPr>
            <w:tcW w:w="110" w:type="dxa"/>
            <w:tcBorders/>
            <w:shd w:fill="FFFFFF" w:val="clear"/>
            <w:vAlign w:val="center"/>
          </w:tcPr>
          <w:p>
            <w:pPr>
              <w:pStyle w:val="TableContents"/>
              <w:bidi w:val="0"/>
              <w:spacing w:before="0" w:after="283"/>
              <w:jc w:val="left"/>
              <w:rPr/>
            </w:pPr>
            <w:r>
              <w:rPr/>
              <w:t> </w:t>
            </w:r>
            <w:bookmarkStart w:id="154" w:name="xdx_409_ecustom--AdjustmentsToAdditional"/>
            <w:bookmarkEnd w:id="154"/>
          </w:p>
        </w:tc>
      </w:tr>
      <w:tr>
        <w:trPr/>
        <w:tc>
          <w:tcPr>
            <w:tcW w:w="1310" w:type="dxa"/>
            <w:tcBorders/>
            <w:shd w:fill="CCEEFF" w:val="clear"/>
            <w:vAlign w:val="center"/>
          </w:tcPr>
          <w:p>
            <w:pPr>
              <w:pStyle w:val="TableContents"/>
              <w:bidi w:val="0"/>
              <w:spacing w:before="0" w:after="283"/>
              <w:jc w:val="left"/>
              <w:rPr/>
            </w:pPr>
            <w:r>
              <w:rPr/>
              <w:t>Cost of stock option repricing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155" w:name="xdx_408_eus-gaap--StockIssuedDuringPerio"/>
            <w:bookmarkEnd w:id="155"/>
          </w:p>
        </w:tc>
      </w:tr>
      <w:tr>
        <w:trPr/>
        <w:tc>
          <w:tcPr>
            <w:tcW w:w="1310" w:type="dxa"/>
            <w:tcBorders/>
            <w:shd w:fill="FFFFFF" w:val="clear"/>
            <w:vAlign w:val="center"/>
          </w:tcPr>
          <w:p>
            <w:pPr>
              <w:pStyle w:val="TableContents"/>
              <w:bidi w:val="0"/>
              <w:spacing w:before="0" w:after="283"/>
              <w:jc w:val="left"/>
              <w:rPr/>
            </w:pPr>
            <w:r>
              <w:rPr/>
              <w:t>Issuance of common stock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 w:name="xdx_98B_eus-gaap--StockIssuedDuringPerio"/>
            <w:bookmarkEnd w:id="156"/>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9,553</w:t>
            </w:r>
          </w:p>
        </w:tc>
        <w:tc>
          <w:tcPr>
            <w:tcW w:w="110" w:type="dxa"/>
            <w:tcBorders/>
            <w:shd w:fill="FFFFFF" w:val="clear"/>
            <w:vAlign w:val="center"/>
          </w:tcPr>
          <w:p>
            <w:pPr>
              <w:pStyle w:val="TableContents"/>
              <w:bidi w:val="0"/>
              <w:spacing w:before="0" w:after="283"/>
              <w:jc w:val="left"/>
              <w:rPr/>
            </w:pPr>
            <w:r>
              <w:rPr/>
              <w:t> </w:t>
            </w:r>
            <w:bookmarkStart w:id="157" w:name="xdx_40D_eus-gaap--StockIssuedDuringPerio"/>
            <w:bookmarkEnd w:id="157"/>
          </w:p>
        </w:tc>
      </w:tr>
      <w:tr>
        <w:trPr/>
        <w:tc>
          <w:tcPr>
            <w:tcW w:w="1310" w:type="dxa"/>
            <w:tcBorders/>
            <w:shd w:fill="CCEEFF" w:val="clear"/>
            <w:vAlign w:val="center"/>
          </w:tcPr>
          <w:p>
            <w:pPr>
              <w:pStyle w:val="TableContents"/>
              <w:bidi w:val="0"/>
              <w:spacing w:before="0" w:after="283"/>
              <w:jc w:val="left"/>
              <w:rPr/>
            </w:pPr>
            <w:r>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8_eus-gaap--StockIssuedDuringPerio"/>
            <w:bookmarkEnd w:id="158"/>
          </w:p>
        </w:tc>
        <w:tc>
          <w:tcPr>
            <w:tcW w:w="110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bookmarkStart w:id="159" w:name="xdx_404_eus-gaap--NetIncomeLoss_z0tK3cfw"/>
            <w:bookmarkEnd w:id="159"/>
          </w:p>
        </w:tc>
      </w:tr>
      <w:tr>
        <w:trPr/>
        <w:tc>
          <w:tcPr>
            <w:tcW w:w="1310" w:type="dxa"/>
            <w:tcBorders/>
            <w:shd w:fill="FFFFFF" w:val="clear"/>
            <w:vAlign w:val="center"/>
          </w:tcPr>
          <w:p>
            <w:pPr>
              <w:pStyle w:val="TableContents"/>
              <w:bidi w:val="0"/>
              <w:spacing w:before="0" w:after="283"/>
              <w:jc w:val="left"/>
              <w:rPr/>
            </w:pPr>
            <w:r>
              <w:rPr/>
              <w:t>Net loss during the three months ended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(7,492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(7,492</w:t>
            </w:r>
          </w:p>
        </w:tc>
        <w:tc>
          <w:tcPr>
            <w:tcW w:w="110" w:type="dxa"/>
            <w:tcBorders/>
            <w:shd w:fill="FFFFFF" w:val="clear"/>
            <w:vAlign w:val="center"/>
          </w:tcPr>
          <w:p>
            <w:pPr>
              <w:pStyle w:val="TableContents"/>
              <w:bidi w:val="0"/>
              <w:spacing w:before="0" w:after="283"/>
              <w:jc w:val="left"/>
              <w:rPr/>
            </w:pPr>
            <w:r>
              <w:rPr/>
              <w:t>)</w:t>
            </w:r>
            <w:bookmarkStart w:id="160" w:name="xdx_43F_c20250401__20250630_eus-gaap--St"/>
            <w:bookmarkEnd w:id="160"/>
          </w:p>
        </w:tc>
      </w:tr>
      <w:tr>
        <w:trPr/>
        <w:tc>
          <w:tcPr>
            <w:tcW w:w="131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1" w:name="xdx_981_eus-gaap--SharesOutstanding_iS_p"/>
            <w:bookmarkEnd w:id="16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37,733,140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2" w:name="xdx_986_eus-gaap--TreasuryStockCommonSha"/>
            <w:bookmarkEnd w:id="16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(433,333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(258,885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29,846</w:t>
            </w:r>
          </w:p>
        </w:tc>
        <w:tc>
          <w:tcPr>
            <w:tcW w:w="110" w:type="dxa"/>
            <w:tcBorders/>
            <w:shd w:fill="CCEEFF" w:val="clear"/>
            <w:vAlign w:val="center"/>
          </w:tcPr>
          <w:p>
            <w:pPr>
              <w:pStyle w:val="TableContents"/>
              <w:bidi w:val="0"/>
              <w:spacing w:before="0" w:after="283"/>
              <w:jc w:val="left"/>
              <w:rPr/>
            </w:pPr>
            <w:r>
              <w:rPr/>
              <w:t> </w:t>
            </w:r>
            <w:bookmarkStart w:id="163" w:name="xdx_40A_eus-gaap--AdjustmentsToAdditiona"/>
            <w:bookmarkEnd w:id="163"/>
          </w:p>
        </w:tc>
      </w:tr>
      <w:tr>
        <w:trPr/>
        <w:tc>
          <w:tcPr>
            <w:tcW w:w="1310"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1,290</w:t>
            </w:r>
          </w:p>
        </w:tc>
        <w:tc>
          <w:tcPr>
            <w:tcW w:w="110" w:type="dxa"/>
            <w:tcBorders/>
            <w:shd w:fill="FFFFFF" w:val="clear"/>
            <w:vAlign w:val="center"/>
          </w:tcPr>
          <w:p>
            <w:pPr>
              <w:pStyle w:val="TableContents"/>
              <w:bidi w:val="0"/>
              <w:spacing w:before="0" w:after="283"/>
              <w:jc w:val="left"/>
              <w:rPr/>
            </w:pPr>
            <w:r>
              <w:rPr/>
              <w:t> </w:t>
            </w:r>
            <w:bookmarkStart w:id="164" w:name="xdx_402_eus-gaap--OtherComprehensiveInco"/>
            <w:bookmarkEnd w:id="164"/>
          </w:p>
        </w:tc>
      </w:tr>
      <w:tr>
        <w:trPr/>
        <w:tc>
          <w:tcPr>
            <w:tcW w:w="1310" w:type="dxa"/>
            <w:tcBorders/>
            <w:shd w:fill="CCEEFF" w:val="clear"/>
            <w:vAlign w:val="center"/>
          </w:tcPr>
          <w:p>
            <w:pPr>
              <w:pStyle w:val="TableContents"/>
              <w:bidi w:val="0"/>
              <w:spacing w:before="0" w:after="283"/>
              <w:jc w:val="left"/>
              <w:rPr/>
            </w:pPr>
            <w:r>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bookmarkStart w:id="165" w:name="xdx_403_eus-gaap--StockIssuedDuringPerio"/>
            <w:bookmarkEnd w:id="165"/>
          </w:p>
        </w:tc>
      </w:tr>
      <w:tr>
        <w:trPr/>
        <w:tc>
          <w:tcPr>
            <w:tcW w:w="1310" w:type="dxa"/>
            <w:tcBorders/>
            <w:shd w:fill="FFFFFF" w:val="clear"/>
            <w:vAlign w:val="center"/>
          </w:tcPr>
          <w:p>
            <w:pPr>
              <w:pStyle w:val="TableContents"/>
              <w:bidi w:val="0"/>
              <w:spacing w:before="0" w:after="283"/>
              <w:jc w:val="left"/>
              <w:rPr/>
            </w:pPr>
            <w:r>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185</w:t>
            </w:r>
          </w:p>
        </w:tc>
        <w:tc>
          <w:tcPr>
            <w:tcW w:w="110" w:type="dxa"/>
            <w:tcBorders/>
            <w:shd w:fill="FFFFFF" w:val="clear"/>
            <w:vAlign w:val="center"/>
          </w:tcPr>
          <w:p>
            <w:pPr>
              <w:pStyle w:val="TableContents"/>
              <w:bidi w:val="0"/>
              <w:spacing w:before="0" w:after="283"/>
              <w:jc w:val="left"/>
              <w:rPr/>
            </w:pPr>
            <w:r>
              <w:rPr/>
              <w:t> </w:t>
            </w:r>
            <w:bookmarkStart w:id="166" w:name="xdx_409_ecustom--AdjustmentsToAdditional"/>
            <w:bookmarkEnd w:id="166"/>
          </w:p>
        </w:tc>
      </w:tr>
      <w:tr>
        <w:trPr/>
        <w:tc>
          <w:tcPr>
            <w:tcW w:w="1310" w:type="dxa"/>
            <w:tcBorders/>
            <w:shd w:fill="CCEEFF" w:val="clear"/>
            <w:vAlign w:val="center"/>
          </w:tcPr>
          <w:p>
            <w:pPr>
              <w:pStyle w:val="TableContents"/>
              <w:bidi w:val="0"/>
              <w:spacing w:before="0" w:after="283"/>
              <w:jc w:val="left"/>
              <w:rPr/>
            </w:pPr>
            <w:r>
              <w:rPr/>
              <w:t>Cost of stock option modifications and repricing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bookmarkStart w:id="167" w:name="xdx_40D_ecustom--StockIssuedDuringPeriod"/>
            <w:bookmarkEnd w:id="167"/>
          </w:p>
        </w:tc>
      </w:tr>
      <w:tr>
        <w:trPr/>
        <w:tc>
          <w:tcPr>
            <w:tcW w:w="1310" w:type="dxa"/>
            <w:tcBorders/>
            <w:shd w:fill="FFFFFF" w:val="clear"/>
            <w:vAlign w:val="center"/>
          </w:tcPr>
          <w:p>
            <w:pPr>
              <w:pStyle w:val="TableContents"/>
              <w:bidi w:val="0"/>
              <w:spacing w:before="0" w:after="283"/>
              <w:jc w:val="left"/>
              <w:rPr/>
            </w:pPr>
            <w:r>
              <w:rPr/>
              <w:t>Common stock issued under equity award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3_ecustom--StockIssuedDuringPeriod"/>
            <w:bookmarkEnd w:id="168"/>
          </w:p>
        </w:tc>
        <w:tc>
          <w:tcPr>
            <w:tcW w:w="1100" w:type="dxa"/>
            <w:tcBorders/>
            <w:shd w:fill="FFFFFF" w:val="clear"/>
            <w:vAlign w:val="center"/>
          </w:tcPr>
          <w:p>
            <w:pPr>
              <w:pStyle w:val="TableContents"/>
              <w:bidi w:val="0"/>
              <w:spacing w:before="0" w:after="283"/>
              <w:jc w:val="right"/>
              <w:rPr/>
            </w:pPr>
            <w:r>
              <w:rPr/>
              <w:t>25,876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bookmarkStart w:id="169" w:name="xdx_404_eus-gaap--NetIncomeLoss_zaIcSIo0"/>
            <w:bookmarkEnd w:id="169"/>
          </w:p>
        </w:tc>
      </w:tr>
      <w:tr>
        <w:trPr/>
        <w:tc>
          <w:tcPr>
            <w:tcW w:w="1310" w:type="dxa"/>
            <w:tcBorders/>
            <w:shd w:fill="CCEEFF" w:val="clear"/>
            <w:vAlign w:val="center"/>
          </w:tcPr>
          <w:p>
            <w:pPr>
              <w:pStyle w:val="TableContents"/>
              <w:bidi w:val="0"/>
              <w:spacing w:before="0" w:after="283"/>
              <w:jc w:val="left"/>
              <w:rPr/>
            </w:pPr>
            <w:r>
              <w:rPr/>
              <w:t>Net loss during the three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(7,456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(7,456</w:t>
            </w:r>
          </w:p>
        </w:tc>
        <w:tc>
          <w:tcPr>
            <w:tcW w:w="110" w:type="dxa"/>
            <w:tcBorders/>
            <w:shd w:fill="CCEEFF" w:val="clear"/>
            <w:vAlign w:val="center"/>
          </w:tcPr>
          <w:p>
            <w:pPr>
              <w:pStyle w:val="TableContents"/>
              <w:bidi w:val="0"/>
              <w:spacing w:before="0" w:after="283"/>
              <w:jc w:val="left"/>
              <w:rPr/>
            </w:pPr>
            <w:r>
              <w:rPr/>
              <w:t>)</w:t>
            </w:r>
            <w:bookmarkStart w:id="170" w:name="xdx_407_eus-gaap--NetIncomeLoss_zFY76wpn"/>
            <w:bookmarkEnd w:id="170"/>
          </w:p>
        </w:tc>
      </w:tr>
      <w:tr>
        <w:trPr/>
        <w:tc>
          <w:tcPr>
            <w:tcW w:w="13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(7,456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(7,456</w:t>
            </w:r>
          </w:p>
        </w:tc>
        <w:tc>
          <w:tcPr>
            <w:tcW w:w="110" w:type="dxa"/>
            <w:tcBorders/>
            <w:shd w:fill="FFFFFF" w:val="clear"/>
            <w:vAlign w:val="center"/>
          </w:tcPr>
          <w:p>
            <w:pPr>
              <w:pStyle w:val="TableContents"/>
              <w:bidi w:val="0"/>
              <w:spacing w:before="0" w:after="283"/>
              <w:jc w:val="left"/>
              <w:rPr/>
            </w:pPr>
            <w:r>
              <w:rPr/>
              <w:t>)</w:t>
            </w:r>
            <w:bookmarkStart w:id="171" w:name="xdx_43E_c20250401__20250630_eus-gaap--St"/>
            <w:bookmarkEnd w:id="171"/>
          </w:p>
        </w:tc>
      </w:tr>
      <w:tr>
        <w:trPr/>
        <w:tc>
          <w:tcPr>
            <w:tcW w:w="1310"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2" w:name="xdx_988_eus-gaap--SharesOutstanding_iE_p"/>
            <w:bookmarkEnd w:id="17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37,759,016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 w:name="xdx_986_eus-gaap--TreasuryStockCommonSha"/>
            <w:bookmarkEnd w:id="173"/>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(433,333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290,631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23,898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bidi w:val="0"/>
        <w:spacing w:before="0" w:after="0"/>
        <w:jc w:val="center"/>
        <w:rPr>
          <w:rFonts w:ascii="Times New Roman;Times;Serif" w:hAnsi="Times New Roman;Times;Serif"/>
          <w:b/>
          <w:i w:val="false"/>
          <w:caps w:val="false"/>
          <w:smallCaps w:val="false"/>
          <w:sz w:val="20"/>
        </w:rPr>
      </w:pPr>
      <w:bookmarkStart w:id="174" w:name="pp_006"/>
      <w:bookmarkEnd w:id="174"/>
      <w:r>
        <w:rPr>
          <w:rFonts w:ascii="Times New Roman;Times;Serif" w:hAnsi="Times New Roman;Times;Serif"/>
          <w:b/>
          <w:i w:val="false"/>
          <w:caps w:val="false"/>
          <w:smallCaps w:val="false"/>
          <w:sz w:val="20"/>
        </w:rPr>
        <w:t>Condensed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5" w:name="xdx_30E_112_pn3n3_zx2bJHXyGih"/>
      <w:bookmarkStart w:id="176" w:name="xdx_30E_112_pn3n3_zx2bJHXyGih"/>
      <w:bookmarkEnd w:id="176"/>
    </w:p>
    <w:tbl>
      <w:tblPr>
        <w:tblW w:w="10152" w:type="dxa"/>
        <w:jc w:val="left"/>
        <w:tblInd w:w="0" w:type="dxa"/>
        <w:tblLayout w:type="fixed"/>
        <w:tblCellMar>
          <w:top w:w="0" w:type="dxa"/>
          <w:left w:w="0" w:type="dxa"/>
          <w:bottom w:w="0" w:type="dxa"/>
          <w:right w:w="0" w:type="dxa"/>
        </w:tblCellMar>
      </w:tblPr>
      <w:tblGrid>
        <w:gridCol w:w="7160"/>
        <w:gridCol w:w="60"/>
        <w:gridCol w:w="203"/>
        <w:gridCol w:w="1096"/>
        <w:gridCol w:w="137"/>
        <w:gridCol w:w="87"/>
        <w:gridCol w:w="203"/>
        <w:gridCol w:w="1096"/>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 w:name="xdx_49B_20260101__20260630_zSwoO6Y5MnF"/>
            <w:bookmarkEnd w:id="177"/>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178" w:name="xdx_496_20250101__20250630_zfCvp8BWr8Tk"/>
            <w:bookmarkEnd w:id="178"/>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9" w:name="xdx_40A_eus-gaap--NetCashProvidedByUsedI"/>
            <w:bookmarkEnd w:id="179"/>
          </w:p>
        </w:tc>
      </w:tr>
      <w:tr>
        <w:trPr/>
        <w:tc>
          <w:tcPr>
            <w:tcW w:w="716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0" w:name="xdx_402_eus-gaap--NetIncomeLoss_i01_maNC"/>
            <w:bookmarkEnd w:id="180"/>
          </w:p>
        </w:tc>
      </w:tr>
      <w:tr>
        <w:trPr/>
        <w:tc>
          <w:tcPr>
            <w:tcW w:w="71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(18,399</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(14,948</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1" w:name="xdx_404_eus-gaap--AdjustmentsToReconcile"/>
            <w:bookmarkEnd w:id="181"/>
          </w:p>
        </w:tc>
      </w:tr>
      <w:tr>
        <w:trPr/>
        <w:tc>
          <w:tcPr>
            <w:tcW w:w="716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2" w:name="xdx_404_eus-gaap--Depreciation_i02_maNCP"/>
            <w:bookmarkEnd w:id="182"/>
          </w:p>
        </w:tc>
      </w:tr>
      <w:tr>
        <w:trPr/>
        <w:tc>
          <w:tcPr>
            <w:tcW w:w="7160"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20</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122</w:t>
            </w:r>
          </w:p>
        </w:tc>
        <w:tc>
          <w:tcPr>
            <w:tcW w:w="110" w:type="dxa"/>
            <w:tcBorders/>
            <w:shd w:fill="CCEEFF" w:val="clear"/>
            <w:vAlign w:val="center"/>
          </w:tcPr>
          <w:p>
            <w:pPr>
              <w:pStyle w:val="TableContents"/>
              <w:bidi w:val="0"/>
              <w:spacing w:before="0" w:after="283"/>
              <w:jc w:val="left"/>
              <w:rPr/>
            </w:pPr>
            <w:r>
              <w:rPr/>
              <w:t> </w:t>
            </w:r>
            <w:bookmarkStart w:id="183" w:name="xdx_40F_eus-gaap--AccretionAmortizationO"/>
            <w:bookmarkEnd w:id="183"/>
          </w:p>
        </w:tc>
      </w:tr>
      <w:tr>
        <w:trPr/>
        <w:tc>
          <w:tcPr>
            <w:tcW w:w="7160" w:type="dxa"/>
            <w:tcBorders/>
            <w:shd w:fill="FFFFFF" w:val="clear"/>
            <w:vAlign w:val="center"/>
          </w:tcPr>
          <w:p>
            <w:pPr>
              <w:pStyle w:val="TableContents"/>
              <w:bidi w:val="0"/>
              <w:spacing w:before="0" w:after="283"/>
              <w:jc w:val="left"/>
              <w:rPr/>
            </w:pPr>
            <w:r>
              <w:rPr/>
              <w:t>Accretion of discounts on marketable securities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(117</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jc w:val="left"/>
              <w:rPr/>
            </w:pPr>
            <w:r>
              <w:rPr/>
              <w:t>)</w:t>
            </w:r>
            <w:bookmarkStart w:id="184" w:name="xdx_402_eus-gaap--OperatingLeaseRightOfU"/>
            <w:bookmarkEnd w:id="184"/>
          </w:p>
        </w:tc>
      </w:tr>
      <w:tr>
        <w:trPr/>
        <w:tc>
          <w:tcPr>
            <w:tcW w:w="7160"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170</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bookmarkStart w:id="185" w:name="xdx_400_ecustom--FairValueOfVestedOption"/>
            <w:bookmarkEnd w:id="185"/>
          </w:p>
        </w:tc>
      </w:tr>
      <w:tr>
        <w:trPr/>
        <w:tc>
          <w:tcPr>
            <w:tcW w:w="7160"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2,818</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2,713</w:t>
            </w:r>
          </w:p>
        </w:tc>
        <w:tc>
          <w:tcPr>
            <w:tcW w:w="110" w:type="dxa"/>
            <w:tcBorders/>
            <w:shd w:fill="FFFFFF" w:val="clear"/>
            <w:vAlign w:val="center"/>
          </w:tcPr>
          <w:p>
            <w:pPr>
              <w:pStyle w:val="TableContents"/>
              <w:bidi w:val="0"/>
              <w:spacing w:before="0" w:after="283"/>
              <w:jc w:val="left"/>
              <w:rPr/>
            </w:pPr>
            <w:r>
              <w:rPr/>
              <w:t> </w:t>
            </w:r>
            <w:bookmarkStart w:id="186" w:name="xdx_403_ecustom--FairValueOfRestrictedSt"/>
            <w:bookmarkEnd w:id="186"/>
          </w:p>
        </w:tc>
      </w:tr>
      <w:tr>
        <w:trPr/>
        <w:tc>
          <w:tcPr>
            <w:tcW w:w="7160" w:type="dxa"/>
            <w:tcBorders/>
            <w:shd w:fill="CCEEFF" w:val="clear"/>
            <w:vAlign w:val="center"/>
          </w:tcPr>
          <w:p>
            <w:pPr>
              <w:pStyle w:val="TableContents"/>
              <w:bidi w:val="0"/>
              <w:spacing w:before="0" w:after="283"/>
              <w:jc w:val="left"/>
              <w:rPr/>
            </w:pPr>
            <w:r>
              <w:rPr/>
              <w:t>Fair value of restricted stock units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1,101</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bookmarkStart w:id="187" w:name="xdx_40C_ecustom--CostOfStockOptionModifi"/>
            <w:bookmarkEnd w:id="187"/>
          </w:p>
        </w:tc>
      </w:tr>
      <w:tr>
        <w:trPr/>
        <w:tc>
          <w:tcPr>
            <w:tcW w:w="7160" w:type="dxa"/>
            <w:tcBorders/>
            <w:shd w:fill="FFFFFF" w:val="clear"/>
            <w:vAlign w:val="center"/>
          </w:tcPr>
          <w:p>
            <w:pPr>
              <w:pStyle w:val="TableContents"/>
              <w:bidi w:val="0"/>
              <w:spacing w:before="0" w:after="283"/>
              <w:jc w:val="left"/>
              <w:rPr/>
            </w:pPr>
            <w:r>
              <w:rPr/>
              <w:t>Cost of stock option modifications and repricing</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136</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bookmarkStart w:id="188" w:name="xdx_406_eus-gaap--IncreaseDecreaseInOper"/>
            <w:bookmarkEnd w:id="188"/>
          </w:p>
        </w:tc>
      </w:tr>
      <w:tr>
        <w:trPr/>
        <w:tc>
          <w:tcPr>
            <w:tcW w:w="716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9" w:name="xdx_408_eus-gaap--IncreaseDecreaseInPrep"/>
            <w:bookmarkEnd w:id="189"/>
          </w:p>
        </w:tc>
      </w:tr>
      <w:tr>
        <w:trPr/>
        <w:tc>
          <w:tcPr>
            <w:tcW w:w="716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57</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(590</w:t>
            </w:r>
          </w:p>
        </w:tc>
        <w:tc>
          <w:tcPr>
            <w:tcW w:w="110" w:type="dxa"/>
            <w:tcBorders/>
            <w:shd w:fill="FFFFFF" w:val="clear"/>
            <w:vAlign w:val="center"/>
          </w:tcPr>
          <w:p>
            <w:pPr>
              <w:pStyle w:val="TableContents"/>
              <w:bidi w:val="0"/>
              <w:spacing w:before="0" w:after="283"/>
              <w:jc w:val="left"/>
              <w:rPr/>
            </w:pPr>
            <w:r>
              <w:rPr/>
              <w:t>)</w:t>
            </w:r>
            <w:bookmarkStart w:id="190" w:name="xdx_40D_eus-gaap--IncreaseDecreaseInAcco"/>
            <w:bookmarkEnd w:id="190"/>
          </w:p>
        </w:tc>
      </w:tr>
      <w:tr>
        <w:trPr/>
        <w:tc>
          <w:tcPr>
            <w:tcW w:w="716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2,562</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453</w:t>
            </w:r>
          </w:p>
        </w:tc>
        <w:tc>
          <w:tcPr>
            <w:tcW w:w="110" w:type="dxa"/>
            <w:tcBorders/>
            <w:shd w:fill="CCEEFF" w:val="clear"/>
            <w:vAlign w:val="center"/>
          </w:tcPr>
          <w:p>
            <w:pPr>
              <w:pStyle w:val="TableContents"/>
              <w:bidi w:val="0"/>
              <w:spacing w:before="0" w:after="283"/>
              <w:jc w:val="left"/>
              <w:rPr/>
            </w:pPr>
            <w:r>
              <w:rPr/>
              <w:t> </w:t>
            </w:r>
            <w:bookmarkStart w:id="191" w:name="xdx_406_eus-gaap--IncreaseDecreaseInAccr"/>
            <w:bookmarkEnd w:id="191"/>
          </w:p>
        </w:tc>
      </w:tr>
      <w:tr>
        <w:trPr/>
        <w:tc>
          <w:tcPr>
            <w:tcW w:w="7160" w:type="dxa"/>
            <w:tcBorders/>
            <w:shd w:fill="FFFFFF" w:val="clear"/>
            <w:vAlign w:val="center"/>
          </w:tcPr>
          <w:p>
            <w:pPr>
              <w:pStyle w:val="TableContents"/>
              <w:bidi w:val="0"/>
              <w:spacing w:before="0" w:after="283"/>
              <w:jc w:val="left"/>
              <w:rPr/>
            </w:pPr>
            <w:r>
              <w:rPr/>
              <w:t>Accrued payroll and payroll taxes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(688</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(387</w:t>
            </w:r>
          </w:p>
        </w:tc>
        <w:tc>
          <w:tcPr>
            <w:tcW w:w="110" w:type="dxa"/>
            <w:tcBorders/>
            <w:shd w:fill="FFFFFF" w:val="clear"/>
            <w:vAlign w:val="center"/>
          </w:tcPr>
          <w:p>
            <w:pPr>
              <w:pStyle w:val="TableContents"/>
              <w:bidi w:val="0"/>
              <w:spacing w:before="0" w:after="283"/>
              <w:jc w:val="left"/>
              <w:rPr/>
            </w:pPr>
            <w:r>
              <w:rPr/>
              <w:t>)</w:t>
            </w:r>
            <w:bookmarkStart w:id="192" w:name="xdx_405_eus-gaap--IncreaseDecreaseInOper"/>
            <w:bookmarkEnd w:id="192"/>
          </w:p>
        </w:tc>
      </w:tr>
      <w:tr>
        <w:trPr/>
        <w:tc>
          <w:tcPr>
            <w:tcW w:w="716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(163</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(161</w:t>
            </w:r>
          </w:p>
        </w:tc>
        <w:tc>
          <w:tcPr>
            <w:tcW w:w="110" w:type="dxa"/>
            <w:tcBorders/>
            <w:shd w:fill="CCEEFF" w:val="clear"/>
            <w:vAlign w:val="center"/>
          </w:tcPr>
          <w:p>
            <w:pPr>
              <w:pStyle w:val="TableContents"/>
              <w:bidi w:val="0"/>
              <w:spacing w:before="0" w:after="283"/>
              <w:jc w:val="left"/>
              <w:rPr/>
            </w:pPr>
            <w:r>
              <w:rPr/>
              <w:t>)</w:t>
            </w:r>
            <w:bookmarkStart w:id="193" w:name="xdx_40A_eus-gaap--NetCashProvidedByUsedI"/>
            <w:bookmarkEnd w:id="193"/>
          </w:p>
        </w:tc>
      </w:tr>
      <w:tr>
        <w:trPr/>
        <w:tc>
          <w:tcPr>
            <w:tcW w:w="716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(12,503</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(12,494</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4" w:name="xdx_408_eus-gaap--NetCashProvidedByUsedI"/>
            <w:bookmarkEnd w:id="194"/>
          </w:p>
        </w:tc>
      </w:tr>
      <w:tr>
        <w:trPr/>
        <w:tc>
          <w:tcPr>
            <w:tcW w:w="716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02_eus-gaap--PaymentsToAcquirePrope"/>
            <w:bookmarkEnd w:id="195"/>
          </w:p>
        </w:tc>
      </w:tr>
      <w:tr>
        <w:trPr/>
        <w:tc>
          <w:tcPr>
            <w:tcW w:w="716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(2,453</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bookmarkStart w:id="196" w:name="xdx_403_eus-gaap--PaymentsToAcquireInves"/>
            <w:bookmarkEnd w:id="196"/>
          </w:p>
        </w:tc>
      </w:tr>
      <w:tr>
        <w:trPr/>
        <w:tc>
          <w:tcPr>
            <w:tcW w:w="7160"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(14,398</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(12,999</w:t>
            </w:r>
          </w:p>
        </w:tc>
        <w:tc>
          <w:tcPr>
            <w:tcW w:w="110" w:type="dxa"/>
            <w:tcBorders/>
            <w:shd w:fill="FFFFFF" w:val="clear"/>
            <w:vAlign w:val="center"/>
          </w:tcPr>
          <w:p>
            <w:pPr>
              <w:pStyle w:val="TableContents"/>
              <w:bidi w:val="0"/>
              <w:spacing w:before="0" w:after="283"/>
              <w:jc w:val="left"/>
              <w:rPr/>
            </w:pPr>
            <w:r>
              <w:rPr/>
              <w:t>)</w:t>
            </w:r>
            <w:bookmarkStart w:id="197" w:name="xdx_400_eus-gaap--ProceedsFromSaleMaturi"/>
            <w:bookmarkEnd w:id="197"/>
          </w:p>
        </w:tc>
      </w:tr>
      <w:tr>
        <w:trPr/>
        <w:tc>
          <w:tcPr>
            <w:tcW w:w="7160"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14,280</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14,000</w:t>
            </w:r>
          </w:p>
        </w:tc>
        <w:tc>
          <w:tcPr>
            <w:tcW w:w="110" w:type="dxa"/>
            <w:tcBorders/>
            <w:shd w:fill="CCEEFF" w:val="clear"/>
            <w:vAlign w:val="center"/>
          </w:tcPr>
          <w:p>
            <w:pPr>
              <w:pStyle w:val="TableContents"/>
              <w:bidi w:val="0"/>
              <w:spacing w:before="0" w:after="283"/>
              <w:jc w:val="left"/>
              <w:rPr/>
            </w:pPr>
            <w:r>
              <w:rPr/>
              <w:t> </w:t>
            </w:r>
            <w:bookmarkStart w:id="198" w:name="xdx_40A_eus-gaap--NetCashProvidedByUsedI"/>
            <w:bookmarkEnd w:id="198"/>
          </w:p>
        </w:tc>
      </w:tr>
      <w:tr>
        <w:trPr/>
        <w:tc>
          <w:tcPr>
            <w:tcW w:w="7160"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(2,571</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856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 w:name="xdx_403_eus-gaap--NetCashProvidedByUsedI"/>
            <w:bookmarkEnd w:id="199"/>
          </w:p>
        </w:tc>
      </w:tr>
      <w:tr>
        <w:trPr/>
        <w:tc>
          <w:tcPr>
            <w:tcW w:w="716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 w:name="xdx_402_eus-gaap--ProceedsFromOtherEquit"/>
            <w:bookmarkEnd w:id="200"/>
          </w:p>
        </w:tc>
      </w:tr>
      <w:tr>
        <w:trPr/>
        <w:tc>
          <w:tcPr>
            <w:tcW w:w="7160" w:type="dxa"/>
            <w:tcBorders/>
            <w:shd w:fill="CCEEFF" w:val="clear"/>
            <w:vAlign w:val="center"/>
          </w:tcPr>
          <w:p>
            <w:pPr>
              <w:pStyle w:val="TableContents"/>
              <w:bidi w:val="0"/>
              <w:spacing w:before="0" w:after="283"/>
              <w:jc w:val="left"/>
              <w:rPr/>
            </w:pPr>
            <w:r>
              <w:rPr/>
              <w:t>Proceeds from common stock issued for Company equity award programs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47</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 </w:t>
            </w:r>
            <w:bookmarkStart w:id="201" w:name="xdx_400_eus-gaap--ProceedsFromStockOptio"/>
            <w:bookmarkEnd w:id="201"/>
          </w:p>
        </w:tc>
      </w:tr>
      <w:tr>
        <w:trPr/>
        <w:tc>
          <w:tcPr>
            <w:tcW w:w="7160" w:type="dxa"/>
            <w:tcBorders/>
            <w:shd w:fill="FFFFFF" w:val="clear"/>
            <w:vAlign w:val="center"/>
          </w:tcPr>
          <w:p>
            <w:pPr>
              <w:pStyle w:val="TableContents"/>
              <w:bidi w:val="0"/>
              <w:spacing w:before="0" w:after="283"/>
              <w:jc w:val="left"/>
              <w:rPr/>
            </w:pPr>
            <w:r>
              <w:rPr/>
              <w:t>Proceeds from the exercise of stock options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13</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bookmarkStart w:id="202" w:name="xdx_404_eus-gaap--ProceedsFromIssuanceOf"/>
            <w:bookmarkEnd w:id="202"/>
          </w:p>
        </w:tc>
      </w:tr>
      <w:tr>
        <w:trPr/>
        <w:tc>
          <w:tcPr>
            <w:tcW w:w="7160" w:type="dxa"/>
            <w:tcBorders/>
            <w:shd w:fill="CCEEFF" w:val="clear"/>
            <w:vAlign w:val="center"/>
          </w:tcPr>
          <w:p>
            <w:pPr>
              <w:pStyle w:val="TableContents"/>
              <w:bidi w:val="0"/>
              <w:spacing w:before="0" w:after="283"/>
              <w:jc w:val="left"/>
              <w:rPr/>
            </w:pPr>
            <w:r>
              <w:rPr/>
              <w:t>Proceeds from common stock issued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18,865</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9,553</w:t>
            </w:r>
          </w:p>
        </w:tc>
        <w:tc>
          <w:tcPr>
            <w:tcW w:w="110" w:type="dxa"/>
            <w:tcBorders/>
            <w:shd w:fill="CCEEFF" w:val="clear"/>
            <w:vAlign w:val="center"/>
          </w:tcPr>
          <w:p>
            <w:pPr>
              <w:pStyle w:val="TableContents"/>
              <w:bidi w:val="0"/>
              <w:spacing w:before="0" w:after="283"/>
              <w:jc w:val="left"/>
              <w:rPr/>
            </w:pPr>
            <w:r>
              <w:rPr/>
              <w:t> </w:t>
            </w:r>
            <w:bookmarkStart w:id="203" w:name="xdx_40F_eus-gaap--NetCashProvidedByUsedI"/>
            <w:bookmarkEnd w:id="203"/>
          </w:p>
        </w:tc>
      </w:tr>
      <w:tr>
        <w:trPr/>
        <w:tc>
          <w:tcPr>
            <w:tcW w:w="716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18,925</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9,619</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4" w:name="xdx_400_eus-gaap--CashCashEquivalentsRes"/>
            <w:bookmarkEnd w:id="204"/>
          </w:p>
        </w:tc>
      </w:tr>
      <w:tr>
        <w:trPr/>
        <w:tc>
          <w:tcPr>
            <w:tcW w:w="7160" w:type="dxa"/>
            <w:tcBorders/>
            <w:shd w:fill="FFFF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3,851</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(2,019</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5" w:name="xdx_40F_eus-gaap--CashCashEquivalentsRes"/>
            <w:bookmarkEnd w:id="205"/>
          </w:p>
        </w:tc>
      </w:tr>
      <w:tr>
        <w:trPr/>
        <w:tc>
          <w:tcPr>
            <w:tcW w:w="7160" w:type="dxa"/>
            <w:tcBorders/>
            <w:shd w:fill="FFFFFF" w:val="clear"/>
            <w:vAlign w:val="center"/>
          </w:tcPr>
          <w:p>
            <w:pPr>
              <w:pStyle w:val="TableContents"/>
              <w:bidi w:val="0"/>
              <w:spacing w:before="0" w:after="283"/>
              <w:jc w:val="left"/>
              <w:rPr>
                <w:b/>
              </w:rPr>
            </w:pPr>
            <w:r>
              <w:rPr>
                <w:b/>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0_eus-gaap--CashCashEquivalentsRes"/>
            <w:bookmarkEnd w:id="206"/>
          </w:p>
        </w:tc>
      </w:tr>
      <w:tr>
        <w:trPr/>
        <w:tc>
          <w:tcPr>
            <w:tcW w:w="7160" w:type="dxa"/>
            <w:tcBorders/>
            <w:shd w:fill="CCEEFF" w:val="clear"/>
            <w:vAlign w:val="center"/>
          </w:tcPr>
          <w:p>
            <w:pPr>
              <w:pStyle w:val="TableContents"/>
              <w:bidi w:val="0"/>
              <w:spacing w:before="0" w:after="283"/>
              <w:jc w:val="left"/>
              <w:rPr/>
            </w:pPr>
            <w:r>
              <w:rPr/>
              <w:t>BEGINNING OF PERIOD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5,333</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8,565</w:t>
            </w:r>
          </w:p>
        </w:tc>
        <w:tc>
          <w:tcPr>
            <w:tcW w:w="110" w:type="dxa"/>
            <w:tcBorders/>
            <w:shd w:fill="CCEEFF" w:val="clear"/>
            <w:vAlign w:val="center"/>
          </w:tcPr>
          <w:p>
            <w:pPr>
              <w:pStyle w:val="TableContents"/>
              <w:bidi w:val="0"/>
              <w:spacing w:before="0" w:after="283"/>
              <w:jc w:val="left"/>
              <w:rPr/>
            </w:pPr>
            <w:r>
              <w:rPr/>
              <w:t> </w:t>
            </w:r>
            <w:bookmarkStart w:id="207" w:name="xdx_403_eus-gaap--CashCashEquivalentsRes"/>
            <w:bookmarkEnd w:id="207"/>
          </w:p>
        </w:tc>
      </w:tr>
      <w:tr>
        <w:trPr/>
        <w:tc>
          <w:tcPr>
            <w:tcW w:w="7160" w:type="dxa"/>
            <w:tcBorders/>
            <w:shd w:fill="FFFFFF" w:val="clear"/>
            <w:vAlign w:val="center"/>
          </w:tcPr>
          <w:p>
            <w:pPr>
              <w:pStyle w:val="TableContents"/>
              <w:bidi w:val="0"/>
              <w:spacing w:before="0" w:after="283"/>
              <w:jc w:val="left"/>
              <w:rPr/>
            </w:pPr>
            <w:r>
              <w:rPr/>
              <w:t>END OF PERIOD</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FFFFFF" w:val="clear"/>
            <w:tcMar>
              <w:bottom w:w="28" w:type="dxa"/>
            </w:tcMar>
            <w:vAlign w:val="center"/>
          </w:tcPr>
          <w:p>
            <w:pPr>
              <w:pStyle w:val="TableContents"/>
              <w:bidi w:val="0"/>
              <w:spacing w:before="0" w:after="283"/>
              <w:jc w:val="right"/>
              <w:rPr/>
            </w:pPr>
            <w:r>
              <w:rPr/>
              <w:t>9,184</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FFFFFF" w:val="clear"/>
            <w:tcMar>
              <w:bottom w:w="28" w:type="dxa"/>
            </w:tcMar>
            <w:vAlign w:val="center"/>
          </w:tcPr>
          <w:p>
            <w:pPr>
              <w:pStyle w:val="TableContents"/>
              <w:bidi w:val="0"/>
              <w:spacing w:before="0" w:after="283"/>
              <w:jc w:val="right"/>
              <w:rPr/>
            </w:pPr>
            <w:r>
              <w:rPr/>
              <w:t>6,546</w:t>
            </w:r>
          </w:p>
        </w:tc>
        <w:tc>
          <w:tcPr>
            <w:tcW w:w="110" w:type="dxa"/>
            <w:tcBorders/>
            <w:shd w:fill="FFFFFF" w:val="clear"/>
            <w:vAlign w:val="center"/>
          </w:tcPr>
          <w:p>
            <w:pPr>
              <w:pStyle w:val="TableContents"/>
              <w:bidi w:val="0"/>
              <w:spacing w:before="0" w:after="283"/>
              <w:jc w:val="left"/>
              <w:rPr/>
            </w:pPr>
            <w:r>
              <w:rPr/>
              <w:t> </w:t>
            </w:r>
            <w:bookmarkStart w:id="208" w:name="xdx_407_eus-gaap--CashFlowNoncashInvesti"/>
            <w:bookmarkEnd w:id="208"/>
          </w:p>
        </w:tc>
      </w:tr>
      <w:tr>
        <w:trPr/>
        <w:tc>
          <w:tcPr>
            <w:tcW w:w="7160" w:type="dxa"/>
            <w:tcBorders/>
            <w:shd w:fill="CCEEFF" w:val="clear"/>
            <w:vAlign w:val="center"/>
          </w:tcPr>
          <w:p>
            <w:pPr>
              <w:pStyle w:val="TableContents"/>
              <w:bidi w:val="0"/>
              <w:spacing w:before="0" w:after="283"/>
              <w:jc w:val="left"/>
              <w:rPr>
                <w:b/>
              </w:rPr>
            </w:pPr>
            <w:r>
              <w:rPr>
                <w:b/>
              </w:rPr>
              <w:t>Supplemental non-cash financing disclosures: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9" w:name="xdx_40C_ecustom--UnrealizedLossOnMarketa"/>
            <w:bookmarkEnd w:id="209"/>
          </w:p>
        </w:tc>
      </w:tr>
      <w:tr>
        <w:trPr/>
        <w:tc>
          <w:tcPr>
            <w:tcW w:w="7160" w:type="dxa"/>
            <w:tcBorders/>
            <w:shd w:fill="FFFFFF" w:val="clear"/>
            <w:vAlign w:val="center"/>
          </w:tcPr>
          <w:p>
            <w:pPr>
              <w:pStyle w:val="TableContents"/>
              <w:bidi w:val="0"/>
              <w:spacing w:before="0" w:after="283"/>
              <w:jc w:val="left"/>
              <w:rPr/>
            </w:pPr>
            <w:r>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(11</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210" w:name="xdx_405_ecustom--RemeasurementOfRightOfU"/>
            <w:bookmarkEnd w:id="210"/>
          </w:p>
        </w:tc>
      </w:tr>
      <w:tr>
        <w:trPr/>
        <w:tc>
          <w:tcPr>
            <w:tcW w:w="7160" w:type="dxa"/>
            <w:tcBorders/>
            <w:shd w:fill="CCEEFF" w:val="clear"/>
            <w:vAlign w:val="center"/>
          </w:tcPr>
          <w:p>
            <w:pPr>
              <w:pStyle w:val="TableContents"/>
              <w:bidi w:val="0"/>
              <w:spacing w:before="0" w:after="283"/>
              <w:jc w:val="left"/>
              <w:rPr/>
            </w:pPr>
            <w:r>
              <w:rPr/>
              <w:t>Remeasurement of right of use asset and lease liability upon lease extension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896</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211" w:name="pp_007"/>
      <w:bookmarkEnd w:id="211"/>
      <w:r>
        <w:rPr>
          <w:rFonts w:ascii="Times New Roman;Times;Serif" w:hAnsi="Times New Roman;Times;Serif"/>
          <w:b/>
          <w:i w:val="false"/>
          <w:caps w:val="false"/>
          <w:smallCaps w:val="false"/>
          <w:sz w:val="20"/>
        </w:rPr>
        <w:t>Notes to Condensed Financial Statements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 and per share data)</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12" w:name="xdx_80A_eus-gaap--BasisOfAccounting_zrxU"/>
      <w:bookmarkEnd w:id="212"/>
      <w:r>
        <w:rPr>
          <w:rFonts w:ascii="Times New Roman;Times;Serif" w:hAnsi="Times New Roman;Times;Serif"/>
          <w:b/>
          <w:i w:val="false"/>
          <w:caps w:val="false"/>
          <w:smallCaps w:val="false"/>
          <w:sz w:val="20"/>
        </w:rPr>
        <w:t xml:space="preserve">NOTE 1 – </w:t>
      </w:r>
      <w:bookmarkStart w:id="213" w:name="xdx_826_z7yJKNXCyLrl"/>
      <w:bookmarkEnd w:id="213"/>
      <w:r>
        <w:rPr>
          <w:rFonts w:ascii="Times New Roman;Times;Serif" w:hAnsi="Times New Roman;Times;Serif"/>
          <w:b/>
          <w:i w:val="false"/>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Corporation (Genelux or the Company), a Delaware corporation, incorporated on September 4, 2001, is a late clinical-stage biopharmaceutical company located in Westlake Village, California. The Company is engaged in the research and development of diagnostic and therapeutic solutions for cancer for which there is no effective treatment today. The Company is focused on developing a pipeline of next-generation oncolytic immunotherapies for patients suffering from aggressive and/or difficult-to-treat tumor types.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The Company has experienced recurring losses from operations since inception and incurred a net loss of $</w:t>
      </w:r>
      <w:bookmarkStart w:id="214" w:name="xdx_905_eus-gaap--NetIncomeLoss_iN_pn5n6"/>
      <w:bookmarkEnd w:id="214"/>
      <w:r>
        <w:rPr>
          <w:rFonts w:ascii="Times New Roman;Times;Serif" w:hAnsi="Times New Roman;Times;Serif"/>
          <w:b w:val="false"/>
          <w:i w:val="false"/>
          <w:caps w:val="false"/>
          <w:smallCaps w:val="false"/>
          <w:sz w:val="20"/>
        </w:rPr>
        <w:t>18.4 million and cash used in operations of $</w:t>
      </w:r>
      <w:bookmarkStart w:id="215" w:name="xdx_90A_eus-gaap--NetCashProvidedByUsedI"/>
      <w:bookmarkEnd w:id="215"/>
      <w:r>
        <w:rPr>
          <w:rFonts w:ascii="Times New Roman;Times;Serif" w:hAnsi="Times New Roman;Times;Serif"/>
          <w:b w:val="false"/>
          <w:i w:val="false"/>
          <w:caps w:val="false"/>
          <w:smallCaps w:val="false"/>
          <w:sz w:val="20"/>
        </w:rPr>
        <w:t>12.5 million during the six months ended June 30, 2026. These factors raise substantial doubt about the Company’s ability to continue as a going concern. In addition, the Company’s independent registered public accounting firm has included an explanatory paragraph in its report on the Company’s December 31, 2025 financial statements with respect to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w:t>
      </w:r>
      <w:bookmarkStart w:id="216" w:name="xdx_90C_eus-gaap--RestrictedCashAndCashE"/>
      <w:bookmarkEnd w:id="216"/>
      <w:r>
        <w:rPr>
          <w:rFonts w:ascii="Times New Roman;Times;Serif" w:hAnsi="Times New Roman;Times;Serif"/>
          <w:b w:val="false"/>
          <w:i w:val="false"/>
          <w:caps w:val="false"/>
          <w:smallCaps w:val="false"/>
          <w:sz w:val="20"/>
        </w:rPr>
        <w:t>9.2 million in cash, cash equivalents and restricted cash ($</w:t>
      </w:r>
      <w:bookmarkStart w:id="217" w:name="xdx_903_eus-gaap--RestrictedCashCurrent_"/>
      <w:bookmarkEnd w:id="217"/>
      <w:r>
        <w:rPr>
          <w:rFonts w:ascii="Times New Roman;Times;Serif" w:hAnsi="Times New Roman;Times;Serif"/>
          <w:b w:val="false"/>
          <w:i w:val="false"/>
          <w:caps w:val="false"/>
          <w:smallCaps w:val="false"/>
          <w:sz w:val="20"/>
        </w:rPr>
        <w:t>2.0 million in restricted cash) and $</w:t>
      </w:r>
      <w:bookmarkStart w:id="218" w:name="xdx_90B_eus-gaap--ShortTermInvestments_i"/>
      <w:bookmarkEnd w:id="218"/>
      <w:r>
        <w:rPr>
          <w:rFonts w:ascii="Times New Roman;Times;Serif" w:hAnsi="Times New Roman;Times;Serif"/>
          <w:b w:val="false"/>
          <w:i w:val="false"/>
          <w:caps w:val="false"/>
          <w:smallCaps w:val="false"/>
          <w:sz w:val="20"/>
        </w:rPr>
        <w:t>9.5 million in marketable securities. However, the Company does not have any committed external source of funds or other support for our development efforts, except for the license agreement (Newsoara License Agreement) the Company entered into with Newsoara BioPharma Co. Ltd, in September 2021 which was subsequently assigned in October 2025 to an affiliate, Newsoara HYK Biopharmaceuticals Co., Ltd. (Newsoara). Until the Company can generate sufficient product revenue to finance its cash requirements, which it may never do, the Company expects to finance its future cash needs through a combination of public or private equity offerings, which may include sales under an “at-the-market” offering program pursuant to the sales agreement the Company has with TD Securities (USA) LLC, debt and/or other capital sources such as milestone payments, royalties or other payments or funding from existing or potential collaborations, strategic alliances, licensing arrangements and other arrangements. Based on its research and development plans, the Company expects that its existing cash, cash equivalents, restricted cash and marketable securities will fund its planned operations into the first quarter of 2027. In addition, because the design and outcome of its anticipated and any future clinical trials are highly uncertain, the Company cannot reasonably estimate the actual amounts necessary to successfully complete the development and commercialization of Olvi-Vec or any future product candidates. The Company’s existing cash balance may not be sufficient to complete the development of Olvi-Vec or any other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its operations, in the case of debt financing, or cause substantial dilution for its stockholders, in case of equity financing, or require the Company to grant terms that are not favorable to the Company in future licensing agreements.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financial statements have been prepared in conformity with U.S. generally accepted accounting principles (GAAP) and applicable rules and regulations of the SEC regarding interim financial information. Certain information and note disclosures normally included in the financial statements prepared in accordance with GAAP have been condensed or omitted pursuant to such rules and regulations. Accordingly, these unaudited interim condensed financial statements should be read in conjunction with the financial statements and notes thereto contained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material adjustments of a normal recurring nature have been made to present fairly the Company’s financial position as of June 30, 2026. Operating results and cash flows for the six months ended June 30, 2026 are not necessarily indicative of the results that may be expected for the year ending December 31,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9" w:name="xdx_80D_eus-gaap--SignificantAccountingP"/>
      <w:bookmarkEnd w:id="219"/>
      <w:r>
        <w:rPr>
          <w:rFonts w:ascii="Times New Roman;Times;Serif" w:hAnsi="Times New Roman;Times;Serif"/>
          <w:b/>
          <w:i w:val="false"/>
          <w:caps w:val="false"/>
          <w:smallCaps w:val="false"/>
          <w:sz w:val="20"/>
        </w:rPr>
        <w:t xml:space="preserve">NOTE 2 – </w:t>
      </w:r>
      <w:bookmarkStart w:id="220" w:name="xdx_828_zS4vxXZ3VJM6"/>
      <w:bookmarkEnd w:id="22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to the significant accounting policies disclosed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1" w:name="xdx_86A_zCTobDE1v7z2"/>
      <w:bookmarkStart w:id="222" w:name="xdx_84C_eus-gaap--CashAndCashEquivalents"/>
      <w:bookmarkEnd w:id="221"/>
      <w:bookmarkEnd w:id="222"/>
      <w:r>
        <w:rPr>
          <w:rFonts w:ascii="Times New Roman;Times;Serif" w:hAnsi="Times New Roman;Times;Serif"/>
          <w:b/>
          <w:i w:val="false"/>
          <w:caps w:val="false"/>
          <w:smallCaps w:val="false"/>
          <w:sz w:val="20"/>
        </w:rPr>
        <w:t>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marketable securities with original maturities of three months or less at the date of acquisition as cash equivalents. As of June 30, 2026 and December 31, 2025, cash equivalents were comprised of money market funds that totaled $</w:t>
      </w:r>
      <w:bookmarkStart w:id="223" w:name="xdx_907_eus-gaap--CashEquivalentsAtCarry"/>
      <w:bookmarkEnd w:id="223"/>
      <w:r>
        <w:rPr>
          <w:rFonts w:ascii="Times New Roman;Times;Serif" w:hAnsi="Times New Roman;Times;Serif"/>
          <w:b w:val="false"/>
          <w:i w:val="false"/>
          <w:caps w:val="false"/>
          <w:smallCaps w:val="false"/>
          <w:sz w:val="20"/>
        </w:rPr>
        <w:t>3.6 million and $</w:t>
      </w:r>
      <w:bookmarkStart w:id="224" w:name="xdx_902_eus-gaap--CashEquivalentsAtCarry"/>
      <w:bookmarkEnd w:id="224"/>
      <w:r>
        <w:rPr>
          <w:rFonts w:ascii="Times New Roman;Times;Serif" w:hAnsi="Times New Roman;Times;Serif"/>
          <w:b w:val="false"/>
          <w:i w:val="false"/>
          <w:caps w:val="false"/>
          <w:smallCaps w:val="false"/>
          <w:sz w:val="20"/>
        </w:rPr>
        <w:t>3.0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and December 31, 2025, there was $</w:t>
      </w:r>
      <w:bookmarkStart w:id="225" w:name="xdx_90D_eus-gaap--RestrictedCash_iI_pn5n"/>
      <w:bookmarkStart w:id="226" w:name="xdx_90A_eus-gaap--RestrictedCash_iI_pn5n"/>
      <w:bookmarkEnd w:id="225"/>
      <w:bookmarkEnd w:id="226"/>
      <w:r>
        <w:rPr>
          <w:rFonts w:ascii="Times New Roman;Times;Serif" w:hAnsi="Times New Roman;Times;Serif"/>
          <w:b w:val="false"/>
          <w:i w:val="false"/>
          <w:caps w:val="false"/>
          <w:smallCaps w:val="false"/>
          <w:sz w:val="20"/>
        </w:rPr>
        <w:t>2.0 million restricted cash that is held as a refundable security deposit for an equipment lease (see Note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7" w:name="xdx_861_zw9nIn1L9Zp9"/>
      <w:bookmarkStart w:id="228" w:name="xdx_842_eus-gaap--MarketableSecuritiesPo"/>
      <w:bookmarkEnd w:id="227"/>
      <w:bookmarkEnd w:id="228"/>
      <w:r>
        <w:rPr>
          <w:rFonts w:ascii="Times New Roman;Times;Serif" w:hAnsi="Times New Roman;Times;Serif"/>
          <w:b/>
          <w:i w:val="false"/>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are classified as available-for-sale and are carried at fair value, with the unrealized gains and non-credit related losses reported as a component of accumulated other comprehensive loss and included in stockholders’ equity. Realized gains and losses and declines in value determined to be other than temporary are based on the specific identification method and are included as a component of other income (expense), net in the Statements of Operations and Comprehensive Loss. There were no realized gains or losses during the six months ended June 30, 2026 and 2025. Bonds with maturity dates subsequent to June 30, 2027, are classified as long-term marketable securities, while bonds with maturity dates on or before June 30, 2027, are classified as short-term.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9" w:name="xdx_86D_zLFYL6DIV5n6"/>
      <w:bookmarkStart w:id="230" w:name="xdx_841_eus-gaap--ComprehensiveIncomePol"/>
      <w:bookmarkEnd w:id="229"/>
      <w:bookmarkEnd w:id="230"/>
      <w:r>
        <w:rPr>
          <w:rFonts w:ascii="Times New Roman;Times;Serif" w:hAnsi="Times New Roman;Times;Serif"/>
          <w:b/>
          <w:i w:val="false"/>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net loss as well as other changes in stockholders’ equity that result from transactions and economic events other than those with stockholders. For the six months ended June 30, 2026 and 2025, comprehensive loss included $</w:t>
      </w:r>
      <w:bookmarkStart w:id="231" w:name="xdx_904_eus-gaap--UnrealizedGainLossOnIn"/>
      <w:bookmarkEnd w:id="231"/>
      <w:r>
        <w:rPr>
          <w:rFonts w:ascii="Times New Roman;Times;Serif" w:hAnsi="Times New Roman;Times;Serif"/>
          <w:b w:val="false"/>
          <w:i w:val="false"/>
          <w:caps w:val="false"/>
          <w:smallCaps w:val="false"/>
          <w:sz w:val="20"/>
        </w:rPr>
        <w:t>11 and $</w:t>
      </w:r>
      <w:bookmarkStart w:id="232" w:name="xdx_904_eus-gaap--UnrealizedGainLossOnIn"/>
      <w:bookmarkEnd w:id="232"/>
      <w:r>
        <w:rPr>
          <w:rFonts w:ascii="Times New Roman;Times;Serif" w:hAnsi="Times New Roman;Times;Serif"/>
          <w:b w:val="false"/>
          <w:i w:val="false"/>
          <w:caps w:val="false"/>
          <w:smallCaps w:val="false"/>
          <w:sz w:val="20"/>
        </w:rPr>
        <w:t>61 of unrealized loss on marketable securities, net of tax,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3" w:name="xdx_863_zELAY2e7NZJf"/>
      <w:bookmarkStart w:id="234" w:name="xdx_843_eus-gaap--NewAccountingPronounce"/>
      <w:bookmarkEnd w:id="233"/>
      <w:bookmarkEnd w:id="234"/>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Financial Accounting Standards Board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provisions of this guidance and assessing the potential impact on its financial statement disclosures.</w:t>
      </w:r>
    </w:p>
    <w:p>
      <w:pPr>
        <w:pStyle w:val="TextBody"/>
        <w:bidi w:val="0"/>
        <w:spacing w:before="0" w:after="0"/>
        <w:ind w:left="0" w:right="0" w:firstLine="720"/>
        <w:jc w:val="both"/>
        <w:rPr>
          <w:caps w:val="false"/>
          <w:smallCaps w:val="false"/>
        </w:rPr>
      </w:pPr>
      <w:bookmarkStart w:id="235" w:name="xdx_856_z1dlYLBTaPy"/>
      <w:bookmarkEnd w:id="235"/>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6" w:name="xdx_80F_ecustom--LicenseAgreementsTextBl"/>
      <w:bookmarkEnd w:id="236"/>
      <w:r>
        <w:rPr>
          <w:rFonts w:ascii="Times New Roman;Times;Serif" w:hAnsi="Times New Roman;Times;Serif"/>
          <w:b/>
          <w:i w:val="false"/>
          <w:caps w:val="false"/>
          <w:smallCaps w:val="false"/>
          <w:sz w:val="20"/>
        </w:rPr>
        <w:t xml:space="preserve">NOTE 3 – </w:t>
      </w:r>
      <w:bookmarkStart w:id="237" w:name="xdx_82E_z3RmHfTMYtV1"/>
      <w:bookmarkEnd w:id="237"/>
      <w:r>
        <w:rPr>
          <w:rFonts w:ascii="Times New Roman;Times;Serif" w:hAnsi="Times New Roman;Times;Serif"/>
          <w:b/>
          <w:i w:val="false"/>
          <w:caps w:val="false"/>
          <w:smallCaps w:val="false"/>
          <w:sz w:val="20"/>
        </w:rPr>
        <w:t>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 entered into the Newsoara License Agreement with Newsoara BioPharma Co. Ltd. In October 2025, Newsoara BioPharma Co. Ltd. assigned all of its rights and obligations under the Newsoara License Agreement to an affiliate, Newsoara HYK Biopharmaceuticals Co., Ltd. Pursuant to the Newsoara License Agreement, the Company granted Newsoara an exclusive license to research, develop, commercialize or exploit (i) any and all oncolytic viruses that are controlled by the Company, including Olvi-Vec but excluding V-VET1 (licensed viruses); (ii) any pharmaceutical product in final form that is comprised of or contains the licensed viruses as an active ingredient (licensed products); (iii) any virus developed by or behalf of Newsoara that (a) has a vaccinia virus backbone; (b) is not disclosed or covered by any of the Company’s patents; and (c) includes modifications (as compared to the licensed viruses) of a gene function with therapeutic intent (derived molecules); and (iv) any pharmaceutical product in final form that is comprised of or contains derived molecule as an active ingredient (derived products), in each case in mainland China, Taiwan, Hong Kong and Macau (the Newsoara Territory) in the field of human diagnostic, prophylactic and therapeutic uses (the Newsoara Field). The license granted to Newsoara is royalty bearing for licensed products and royalty free for derived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Newsoara License Agreement, Newsoara granted the Company an exclusive and royalty bearing license to develop, commercialize, and exploit outside the Newsoara Territory any derived products developed by Newsoara. Under the terms of the Newsoara License Agreement and to date, the Company has received from Newsoara an aggregate of $</w:t>
      </w:r>
      <w:bookmarkStart w:id="238" w:name="xdx_903_ecustom--UpfrontAndMilestonePaym"/>
      <w:bookmarkEnd w:id="238"/>
      <w:r>
        <w:rPr>
          <w:rFonts w:ascii="Times New Roman;Times;Serif" w:hAnsi="Times New Roman;Times;Serif"/>
          <w:b w:val="false"/>
          <w:i w:val="false"/>
          <w:caps w:val="false"/>
          <w:smallCaps w:val="false"/>
          <w:sz w:val="20"/>
        </w:rPr>
        <w:t>11.0 million ($</w:t>
      </w:r>
      <w:bookmarkStart w:id="239" w:name="xdx_905_ecustom--UpfrontPayment_pn5n6_c2"/>
      <w:bookmarkEnd w:id="239"/>
      <w:r>
        <w:rPr>
          <w:rFonts w:ascii="Times New Roman;Times;Serif" w:hAnsi="Times New Roman;Times;Serif"/>
          <w:b w:val="false"/>
          <w:i w:val="false"/>
          <w:caps w:val="false"/>
          <w:smallCaps w:val="false"/>
          <w:sz w:val="20"/>
        </w:rPr>
        <w:t>5.0 million as an upfront payment and $</w:t>
      </w:r>
      <w:bookmarkStart w:id="240" w:name="xdx_90F_ecustom--MilestonePayment_pn5n6_"/>
      <w:bookmarkEnd w:id="240"/>
      <w:r>
        <w:rPr>
          <w:rFonts w:ascii="Times New Roman;Times;Serif" w:hAnsi="Times New Roman;Times;Serif"/>
          <w:b w:val="false"/>
          <w:i w:val="false"/>
          <w:caps w:val="false"/>
          <w:smallCaps w:val="false"/>
          <w:sz w:val="20"/>
        </w:rPr>
        <w:t>6.0 million as a milestone payment) associated with the Newsoara License Agreement. Newsoara is obligated to pay the Company additional development and commercial milestone payments up to $</w:t>
      </w:r>
      <w:bookmarkStart w:id="241" w:name="xdx_909_ecustom--AdditionalDevelopmentAn"/>
      <w:bookmarkEnd w:id="241"/>
      <w:r>
        <w:rPr>
          <w:rFonts w:ascii="Times New Roman;Times;Serif" w:hAnsi="Times New Roman;Times;Serif"/>
          <w:b w:val="false"/>
          <w:i w:val="false"/>
          <w:caps w:val="false"/>
          <w:smallCaps w:val="false"/>
          <w:sz w:val="20"/>
        </w:rPr>
        <w:t>160.5 million in the aggregate upon the occurrence of certain development, regulatory and commercial milestones by the licensed products, and royalties on net sales of the licensed products in the mid-single-digit to mid-teens percentage range (the Newsoara Royalty). The Newsoara Royalty term, with respect to a licensed product and each region in the Newsoara Territory, is the period beginning on the date of first commercial sale of such licensed product in such region and ending on the last to occur of: (a) the expiration of the last to expire patent controlled by the Company (including any applicable patent term extension) in such region that contains either (i) an issued valid claim that covers the licensed product (including the licensed virus contained therein, and including the composition of matter and method of making and using thereof) or (ii) a pending valid claim that covers the sequence of the licensed virus contained therein; (b) the 10th anniversary of the first commercial sale of such licensed product in such region; and (c) the expiration of all regulatory exclusivity for such licensed product in such region. If the Company, at its discretion, elects to develop and commercialize outside the territory any derived product developed by Newsoara, the Company is required to make certain milestone and royalty payments to Newsoara.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Newsoara License Agreement, Newsoara is required to use commercially reasonable efforts to research, develop, manufacture, and commercialize the licensed products in the Newsoara Territory in the Newsoara Field and is solely responsible for all costs and expenses incurred in connection with such activities. In addition, Newsoara is required to use commercially reasonable efforts to conduct a multi-center Phase 2 clinical trial for Olvi-Vec in NSCLC using clinical sites in the United States and China, which is the VIRO-25 clinical trial. Newsoara is generally obligated under the Newsoara License Agreement to fund the costs of the VIRO-25 clinical trial in the United States and China. In November 2023, the Company and Newsoara agreed that the Company would engage a clinical research organization (CRO) to conduct certain start-up activities for the trial in the United States only, with Newsoara to reimburse the Company for the costs and expenses. Pursuant to a letter of understanding (the LOU), in September 2025, the Company agreed with Newsoara that the CRO would conduct additional study activities beyond startup for the VIRO-25 clinical trial in the United States and Newsoara would reimburse the Company for costs and expenses related to such additional activities; however, Newsoara is permitted to defer reimbursement of the foregoing costs and expenses until the earlier of: (i) completion of its next round of financing, or (ii)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Clinical Supply Agreement with Newsoara to manufacture and supply Olvi-Vec for Newsoara’s clinical trials in the Newsoara Territory. The Company is responsible for supplying Olvi-Vec at its own costs of manufacturing, without markup.</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2" w:name="xdx_800_eus-gaap--FairValueMeasurementIn"/>
      <w:bookmarkEnd w:id="242"/>
      <w:r>
        <w:rPr>
          <w:rFonts w:ascii="Times New Roman;Times;Serif" w:hAnsi="Times New Roman;Times;Serif"/>
          <w:b/>
          <w:i w:val="false"/>
          <w:caps w:val="false"/>
          <w:smallCaps w:val="false"/>
          <w:sz w:val="20"/>
        </w:rPr>
        <w:t xml:space="preserve">NOTE 4 - </w:t>
      </w:r>
      <w:bookmarkStart w:id="243" w:name="xdx_828_zrVB0Z4gFc27"/>
      <w:bookmarkEnd w:id="243"/>
      <w:r>
        <w:rPr>
          <w:rFonts w:ascii="Times New Roman;Times;Serif" w:hAnsi="Times New Roman;Times;Serif"/>
          <w:b/>
          <w:i w:val="false"/>
          <w:caps w:val="false"/>
          <w:smallCaps w:val="false"/>
          <w:sz w:val="20"/>
        </w:rPr>
        <w:t>FAIR VALUE MEASUREMENTS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a fair value hierarchy that prioritizes the inputs to valuation techniques used to measure fair value. The Company’s valuation techniques and inputs used to measure fair value and the definitions of the three levels (Level 1, Level 2, and Level 3) of the fair value hierarchy are disclosed in Note 2 - Summary of Significant Accounting Policies of Part IV, “Item 15. Exhibits and Financial Statements Schedules” of its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prices and inputs that are current as of the measurement date, including during periods of market disruption. In periods of market disruptions,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June 30, 2026 and December 31, 2025, the Company did not have any financial assets based on Level 3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44" w:name="xdx_892_eus-gaap--ScheduleOfFairValueAss"/>
      <w:bookmarkEnd w:id="244"/>
      <w:r>
        <w:rPr>
          <w:rFonts w:ascii="Times New Roman;Times;Serif" w:hAnsi="Times New Roman;Times;Serif"/>
          <w:b w:val="false"/>
          <w:i w:val="false"/>
          <w:caps w:val="false"/>
          <w:smallCaps w:val="false"/>
          <w:sz w:val="20"/>
        </w:rPr>
        <w:t>The following table presents information about the Company’s financial assets measured at fair value on a recurring basis and indicates the fair value hierarchy of the valuation techniques utilized by the Company.</w:t>
      </w:r>
    </w:p>
    <w:p>
      <w:pPr>
        <w:pStyle w:val="TextBody"/>
        <w:bidi w:val="0"/>
        <w:spacing w:before="0" w:after="0"/>
        <w:ind w:left="0" w:right="0" w:firstLine="720"/>
        <w:jc w:val="both"/>
        <w:rPr>
          <w:caps w:val="false"/>
          <w:smallCaps w:val="false"/>
        </w:rPr>
      </w:pPr>
      <w:r>
        <w:rPr>
          <w:caps w:val="false"/>
          <w:smallCaps w:val="false"/>
        </w:rPr>
        <w:t> </w:t>
      </w:r>
      <w:bookmarkStart w:id="245" w:name="xdx_8BB_z0DkncLdsEkc"/>
      <w:bookmarkEnd w:id="245"/>
      <w:r>
        <w:rPr>
          <w:rFonts w:ascii="Times New Roman;Times;Serif" w:hAnsi="Times New Roman;Times;Serif"/>
          <w:b w:val="false"/>
          <w:i w:val="false"/>
          <w:caps w:val="false"/>
          <w:smallCaps w:val="false"/>
          <w:sz w:val="20"/>
        </w:rPr>
        <w:t>SCHEDULE OF FINANCIAL ASSETS AND LIABILITIES MEASURED AT FAIR VALUE ON A RECURRING BASIS</w:t>
      </w:r>
    </w:p>
    <w:tbl>
      <w:tblPr>
        <w:tblW w:w="6614" w:type="dxa"/>
        <w:jc w:val="left"/>
        <w:tblInd w:w="0" w:type="dxa"/>
        <w:tblLayout w:type="fixed"/>
        <w:tblCellMar>
          <w:top w:w="0" w:type="dxa"/>
          <w:left w:w="0" w:type="dxa"/>
          <w:bottom w:w="0" w:type="dxa"/>
          <w:right w:w="0" w:type="dxa"/>
        </w:tblCellMar>
      </w:tblPr>
      <w:tblGrid>
        <w:gridCol w:w="3035"/>
        <w:gridCol w:w="60"/>
        <w:gridCol w:w="151"/>
        <w:gridCol w:w="604"/>
        <w:gridCol w:w="60"/>
        <w:gridCol w:w="60"/>
        <w:gridCol w:w="151"/>
        <w:gridCol w:w="604"/>
        <w:gridCol w:w="60"/>
        <w:gridCol w:w="60"/>
        <w:gridCol w:w="238"/>
        <w:gridCol w:w="516"/>
        <w:gridCol w:w="60"/>
        <w:gridCol w:w="60"/>
        <w:gridCol w:w="140"/>
        <w:gridCol w:w="68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6" w:name="xdx_495_20260630__us-gaap--FairValueByFa"/>
            <w:bookmarkEnd w:id="246"/>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7" w:name="xdx_49D_20260630__us-gaap--FairValueByFa"/>
            <w:bookmarkEnd w:id="247"/>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8" w:name="xdx_495_20260630__us-gaap--FairValueByFa"/>
            <w:bookmarkEnd w:id="248"/>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9" w:name="xdx_497_20260630_z4nhNzpm0gbh"/>
            <w:bookmarkEnd w:id="249"/>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50" w:name="xdx_402_eus-gaap--CashAndCashEquivalents"/>
            <w:bookmarkEnd w:id="250"/>
          </w:p>
        </w:tc>
      </w:tr>
      <w:tr>
        <w:trPr/>
        <w:tc>
          <w:tcPr>
            <w:tcW w:w="30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3,592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3,592</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Available-for-sale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51" w:name="xdx_40A_eus-gaap--MarketableSecurities_i"/>
            <w:bookmarkEnd w:id="251"/>
          </w:p>
        </w:tc>
      </w:tr>
      <w:tr>
        <w:trPr/>
        <w:tc>
          <w:tcPr>
            <w:tcW w:w="3035" w:type="dxa"/>
            <w:tcBorders/>
            <w:shd w:fill="FFFFFF" w:val="clear"/>
            <w:vAlign w:val="center"/>
          </w:tcPr>
          <w:p>
            <w:pPr>
              <w:pStyle w:val="TableContents"/>
              <w:bidi w:val="0"/>
              <w:spacing w:before="0" w:after="283"/>
              <w:jc w:val="left"/>
              <w:rPr/>
            </w:pPr>
            <w:r>
              <w:rPr/>
              <w:t>US Government Agency bonds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5,743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5,743</w:t>
            </w:r>
          </w:p>
        </w:tc>
        <w:tc>
          <w:tcPr>
            <w:tcW w:w="75" w:type="dxa"/>
            <w:tcBorders/>
            <w:shd w:fill="FFFFFF" w:val="clear"/>
            <w:vAlign w:val="center"/>
          </w:tcPr>
          <w:p>
            <w:pPr>
              <w:pStyle w:val="TableContents"/>
              <w:bidi w:val="0"/>
              <w:spacing w:before="0" w:after="283"/>
              <w:jc w:val="left"/>
              <w:rPr/>
            </w:pPr>
            <w:r>
              <w:rPr/>
              <w:t> </w:t>
            </w:r>
            <w:bookmarkStart w:id="252" w:name="xdx_40E_eus-gaap--MarketableSecurities_i"/>
            <w:bookmarkEnd w:id="252"/>
          </w:p>
        </w:tc>
      </w:tr>
      <w:tr>
        <w:trPr/>
        <w:tc>
          <w:tcPr>
            <w:tcW w:w="3035" w:type="dxa"/>
            <w:tcBorders/>
            <w:shd w:fill="CCEEFF" w:val="clear"/>
            <w:vAlign w:val="center"/>
          </w:tcPr>
          <w:p>
            <w:pPr>
              <w:pStyle w:val="TableContents"/>
              <w:bidi w:val="0"/>
              <w:spacing w:before="0" w:after="283"/>
              <w:jc w:val="left"/>
              <w:rPr/>
            </w:pPr>
            <w:r>
              <w:rPr/>
              <w:t>US Treasury bonds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3,743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3,743</w:t>
            </w:r>
          </w:p>
        </w:tc>
        <w:tc>
          <w:tcPr>
            <w:tcW w:w="75" w:type="dxa"/>
            <w:tcBorders/>
            <w:shd w:fill="CCEEFF" w:val="clear"/>
            <w:vAlign w:val="center"/>
          </w:tcPr>
          <w:p>
            <w:pPr>
              <w:pStyle w:val="TableContents"/>
              <w:bidi w:val="0"/>
              <w:spacing w:before="0" w:after="283"/>
              <w:jc w:val="left"/>
              <w:rPr/>
            </w:pPr>
            <w:r>
              <w:rPr/>
              <w:t> </w:t>
            </w:r>
            <w:bookmarkStart w:id="253" w:name="xdx_403_eus-gaap--AssetsFairValueDisclos"/>
            <w:bookmarkEnd w:id="253"/>
          </w:p>
        </w:tc>
      </w:tr>
      <w:tr>
        <w:trPr/>
        <w:tc>
          <w:tcPr>
            <w:tcW w:w="3035" w:type="dxa"/>
            <w:tcBorders/>
            <w:shd w:fill="FFFFFF" w:val="clear"/>
            <w:vAlign w:val="center"/>
          </w:tcPr>
          <w:p>
            <w:pPr>
              <w:pStyle w:val="TableContents"/>
              <w:bidi w:val="0"/>
              <w:spacing w:before="0" w:after="283"/>
              <w:jc w:val="left"/>
              <w:rPr>
                <w:b/>
              </w:rPr>
            </w:pPr>
            <w:r>
              <w:rPr>
                <w:b/>
              </w:rPr>
              <w:t>Total financial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3,592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9,486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13,078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614" w:type="dxa"/>
        <w:jc w:val="left"/>
        <w:tblInd w:w="0" w:type="dxa"/>
        <w:tblLayout w:type="fixed"/>
        <w:tblCellMar>
          <w:top w:w="0" w:type="dxa"/>
          <w:left w:w="0" w:type="dxa"/>
          <w:bottom w:w="0" w:type="dxa"/>
          <w:right w:w="0" w:type="dxa"/>
        </w:tblCellMar>
      </w:tblPr>
      <w:tblGrid>
        <w:gridCol w:w="3035"/>
        <w:gridCol w:w="60"/>
        <w:gridCol w:w="151"/>
        <w:gridCol w:w="604"/>
        <w:gridCol w:w="60"/>
        <w:gridCol w:w="60"/>
        <w:gridCol w:w="151"/>
        <w:gridCol w:w="604"/>
        <w:gridCol w:w="60"/>
        <w:gridCol w:w="60"/>
        <w:gridCol w:w="211"/>
        <w:gridCol w:w="543"/>
        <w:gridCol w:w="60"/>
        <w:gridCol w:w="60"/>
        <w:gridCol w:w="140"/>
        <w:gridCol w:w="68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4" w:name="xdx_494_20251231__us-gaap--FairValueByFa"/>
            <w:bookmarkEnd w:id="254"/>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5" w:name="xdx_495_20251231__us-gaap--FairValueByFa"/>
            <w:bookmarkEnd w:id="255"/>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6" w:name="xdx_492_20251231__us-gaap--FairValueByFa"/>
            <w:bookmarkEnd w:id="256"/>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7" w:name="xdx_494_20251231_zmRINFRiw7w"/>
            <w:bookmarkEnd w:id="257"/>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58" w:name="xdx_402_eus-gaap--CashAndCashEquivalents"/>
            <w:bookmarkEnd w:id="258"/>
          </w:p>
        </w:tc>
      </w:tr>
      <w:tr>
        <w:trPr/>
        <w:tc>
          <w:tcPr>
            <w:tcW w:w="30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2,953</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Available-for-sale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59" w:name="xdx_40A_eus-gaap--MarketableSecurities_i"/>
            <w:bookmarkEnd w:id="259"/>
          </w:p>
        </w:tc>
      </w:tr>
      <w:tr>
        <w:trPr/>
        <w:tc>
          <w:tcPr>
            <w:tcW w:w="3035" w:type="dxa"/>
            <w:tcBorders/>
            <w:shd w:fill="FFFFFF" w:val="clear"/>
            <w:vAlign w:val="center"/>
          </w:tcPr>
          <w:p>
            <w:pPr>
              <w:pStyle w:val="TableContents"/>
              <w:bidi w:val="0"/>
              <w:spacing w:before="0" w:after="283"/>
              <w:jc w:val="left"/>
              <w:rPr/>
            </w:pPr>
            <w:r>
              <w:rPr/>
              <w:t>US Government Agency bonds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7,983</w:t>
            </w:r>
          </w:p>
        </w:tc>
        <w:tc>
          <w:tcPr>
            <w:tcW w:w="75" w:type="dxa"/>
            <w:tcBorders/>
            <w:shd w:fill="FFFFFF" w:val="clear"/>
            <w:vAlign w:val="center"/>
          </w:tcPr>
          <w:p>
            <w:pPr>
              <w:pStyle w:val="TableContents"/>
              <w:bidi w:val="0"/>
              <w:spacing w:before="0" w:after="283"/>
              <w:jc w:val="left"/>
              <w:rPr/>
            </w:pPr>
            <w:r>
              <w:rPr/>
              <w:t> </w:t>
            </w:r>
            <w:bookmarkStart w:id="260" w:name="xdx_40E_eus-gaap--MarketableSecurities_i"/>
            <w:bookmarkEnd w:id="260"/>
          </w:p>
        </w:tc>
      </w:tr>
      <w:tr>
        <w:trPr/>
        <w:tc>
          <w:tcPr>
            <w:tcW w:w="3035" w:type="dxa"/>
            <w:tcBorders/>
            <w:shd w:fill="CCEEFF" w:val="clear"/>
            <w:vAlign w:val="center"/>
          </w:tcPr>
          <w:p>
            <w:pPr>
              <w:pStyle w:val="TableContents"/>
              <w:bidi w:val="0"/>
              <w:spacing w:before="0" w:after="283"/>
              <w:jc w:val="left"/>
              <w:rPr/>
            </w:pPr>
            <w:r>
              <w:rPr/>
              <w:t>US Treasury bonds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75" w:type="dxa"/>
            <w:tcBorders/>
            <w:shd w:fill="CCEEFF" w:val="clear"/>
            <w:vAlign w:val="center"/>
          </w:tcPr>
          <w:p>
            <w:pPr>
              <w:pStyle w:val="TableContents"/>
              <w:bidi w:val="0"/>
              <w:spacing w:before="0" w:after="283"/>
              <w:jc w:val="left"/>
              <w:rPr/>
            </w:pPr>
            <w:r>
              <w:rPr/>
              <w:t> </w:t>
            </w:r>
            <w:bookmarkStart w:id="261" w:name="xdx_404_eus-gaap--MarketableSecurities_i"/>
            <w:bookmarkEnd w:id="261"/>
          </w:p>
        </w:tc>
      </w:tr>
      <w:tr>
        <w:trPr/>
        <w:tc>
          <w:tcPr>
            <w:tcW w:w="303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1,279</w:t>
            </w:r>
          </w:p>
        </w:tc>
        <w:tc>
          <w:tcPr>
            <w:tcW w:w="75" w:type="dxa"/>
            <w:tcBorders/>
            <w:shd w:fill="CCEEFF" w:val="clear"/>
            <w:vAlign w:val="center"/>
          </w:tcPr>
          <w:p>
            <w:pPr>
              <w:pStyle w:val="TableContents"/>
              <w:bidi w:val="0"/>
              <w:spacing w:before="0" w:after="283"/>
              <w:jc w:val="left"/>
              <w:rPr/>
            </w:pPr>
            <w:r>
              <w:rPr/>
              <w:t> </w:t>
            </w:r>
            <w:bookmarkStart w:id="262" w:name="xdx_403_eus-gaap--AssetsFairValueDisclos"/>
            <w:bookmarkEnd w:id="262"/>
          </w:p>
        </w:tc>
      </w:tr>
      <w:tr>
        <w:trPr/>
        <w:tc>
          <w:tcPr>
            <w:tcW w:w="3035" w:type="dxa"/>
            <w:tcBorders/>
            <w:shd w:fill="FFFFFF" w:val="clear"/>
            <w:vAlign w:val="center"/>
          </w:tcPr>
          <w:p>
            <w:pPr>
              <w:pStyle w:val="TableContents"/>
              <w:bidi w:val="0"/>
              <w:spacing w:before="0" w:after="283"/>
              <w:jc w:val="left"/>
              <w:rPr>
                <w:b/>
              </w:rPr>
            </w:pPr>
            <w:r>
              <w:rPr>
                <w:b/>
              </w:rPr>
              <w:t>Total financial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9,262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12,215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3" w:name="xdx_8A0_zQiUaapa4vt"/>
      <w:bookmarkEnd w:id="26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securities in the money market funds held by the Company are all government backed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consisted of money market funds at June 30, 2026 and December 31, 2025. Money market funds were valued by the Company using quoted prices in active markets for identical securities, which represent a Level 1 measurement within the fair value hierarchy. U.S. Government Agency bonds and U.S. Treasury bonds are government backed securities representing a Level 2 measurement.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4" w:name="xdx_805_eus-gaap--InvestmentTextBlock_zi"/>
      <w:bookmarkEnd w:id="264"/>
      <w:r>
        <w:rPr>
          <w:rFonts w:ascii="Times New Roman;Times;Serif" w:hAnsi="Times New Roman;Times;Serif"/>
          <w:b/>
          <w:i w:val="false"/>
          <w:caps w:val="false"/>
          <w:smallCaps w:val="false"/>
          <w:sz w:val="20"/>
        </w:rPr>
        <w:t xml:space="preserve">NOTE 5 – </w:t>
      </w:r>
      <w:bookmarkStart w:id="265" w:name="xdx_822_zDId6DmGgnJb"/>
      <w:bookmarkEnd w:id="265"/>
      <w:r>
        <w:rPr>
          <w:rFonts w:ascii="Times New Roman;Times;Serif" w:hAnsi="Times New Roman;Times;Serif"/>
          <w:b/>
          <w:i w:val="false"/>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66" w:name="xdx_89E_eus-gaap--DebtSecuritiesAvailabl"/>
      <w:bookmarkEnd w:id="266"/>
      <w:r>
        <w:rPr>
          <w:rFonts w:ascii="Times New Roman;Times;Serif" w:hAnsi="Times New Roman;Times;Serif"/>
          <w:b w:val="false"/>
          <w:i w:val="false"/>
          <w:caps w:val="false"/>
          <w:smallCaps w:val="false"/>
          <w:sz w:val="20"/>
        </w:rPr>
        <w:t>The Company’s marketable securities by type, consisted of the following:</w:t>
      </w:r>
    </w:p>
    <w:p>
      <w:pPr>
        <w:pStyle w:val="TextBody"/>
        <w:bidi w:val="0"/>
        <w:spacing w:before="0" w:after="0"/>
        <w:ind w:left="0" w:right="0" w:hanging="0"/>
        <w:jc w:val="left"/>
        <w:rPr>
          <w:caps w:val="false"/>
          <w:smallCaps w:val="false"/>
        </w:rPr>
      </w:pPr>
      <w:r>
        <w:rPr>
          <w:caps w:val="false"/>
          <w:smallCaps w:val="false"/>
        </w:rPr>
        <w:t> </w:t>
      </w:r>
      <w:bookmarkStart w:id="267" w:name="xdx_8BB_zAqLtcsKkQGa"/>
      <w:bookmarkEnd w:id="267"/>
      <w:r>
        <w:rPr>
          <w:rFonts w:ascii="Times New Roman;Times;Serif" w:hAnsi="Times New Roman;Times;Serif"/>
          <w:b w:val="false"/>
          <w:i w:val="false"/>
          <w:caps w:val="false"/>
          <w:smallCaps w:val="false"/>
          <w:sz w:val="20"/>
        </w:rPr>
        <w:t>SCHEDULE OF AVAILABLE FOR SALE INVESTMENTS</w:t>
      </w:r>
    </w:p>
    <w:tbl>
      <w:tblPr>
        <w:tblW w:w="7050" w:type="dxa"/>
        <w:jc w:val="left"/>
        <w:tblInd w:w="0" w:type="dxa"/>
        <w:tblLayout w:type="fixed"/>
        <w:tblCellMar>
          <w:top w:w="0" w:type="dxa"/>
          <w:left w:w="0" w:type="dxa"/>
          <w:bottom w:w="0" w:type="dxa"/>
          <w:right w:w="0" w:type="dxa"/>
        </w:tblCellMar>
      </w:tblPr>
      <w:tblGrid>
        <w:gridCol w:w="3035"/>
        <w:gridCol w:w="60"/>
        <w:gridCol w:w="184"/>
        <w:gridCol w:w="736"/>
        <w:gridCol w:w="60"/>
        <w:gridCol w:w="60"/>
        <w:gridCol w:w="565"/>
        <w:gridCol w:w="385"/>
        <w:gridCol w:w="60"/>
        <w:gridCol w:w="60"/>
        <w:gridCol w:w="374"/>
        <w:gridCol w:w="576"/>
        <w:gridCol w:w="60"/>
        <w:gridCol w:w="60"/>
        <w:gridCol w:w="140"/>
        <w:gridCol w:w="560"/>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80"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US Government Agency bonds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bookmarkStart w:id="268" w:name="xdx_983_eus-gaap--AvailableForSaleDebtSe"/>
            <w:bookmarkEnd w:id="268"/>
          </w:p>
        </w:tc>
        <w:tc>
          <w:tcPr>
            <w:tcW w:w="736" w:type="dxa"/>
            <w:tcBorders/>
            <w:shd w:fill="CCEEFF" w:val="clear"/>
            <w:vAlign w:val="center"/>
          </w:tcPr>
          <w:p>
            <w:pPr>
              <w:pStyle w:val="TableContents"/>
              <w:bidi w:val="0"/>
              <w:spacing w:before="0" w:after="283"/>
              <w:jc w:val="right"/>
              <w:rPr/>
            </w:pPr>
            <w:r>
              <w:rPr/>
              <w:t>5,746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w:t>
            </w:r>
            <w:bookmarkStart w:id="269" w:name="xdx_986_eus-gaap--AvailableForSaleDebtSe"/>
            <w:bookmarkEnd w:id="269"/>
          </w:p>
        </w:tc>
        <w:tc>
          <w:tcPr>
            <w:tcW w:w="3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bookmarkStart w:id="270" w:name="xdx_984_eus-gaap--AvailableForSaleDebtSe"/>
            <w:bookmarkEnd w:id="270"/>
          </w:p>
        </w:tc>
        <w:tc>
          <w:tcPr>
            <w:tcW w:w="576"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71" w:name="xdx_984_eus-gaap--DebtSecuritiesTradingA"/>
            <w:bookmarkEnd w:id="271"/>
          </w:p>
        </w:tc>
        <w:tc>
          <w:tcPr>
            <w:tcW w:w="560" w:type="dxa"/>
            <w:tcBorders/>
            <w:shd w:fill="CCEEFF" w:val="clear"/>
            <w:vAlign w:val="center"/>
          </w:tcPr>
          <w:p>
            <w:pPr>
              <w:pStyle w:val="TableContents"/>
              <w:bidi w:val="0"/>
              <w:spacing w:before="0" w:after="283"/>
              <w:jc w:val="right"/>
              <w:rPr/>
            </w:pPr>
            <w:r>
              <w:rPr/>
              <w:t>5,743</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US Treasury bonds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2" w:name="xdx_985_eus-gaap--AvailableForSaleDebtSe"/>
            <w:bookmarkEnd w:id="272"/>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pPr>
            <w:r>
              <w:rPr/>
              <w:t>3,745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3" w:name="xdx_980_eus-gaap--AvailableForSaleDebtSe"/>
            <w:bookmarkEnd w:id="273"/>
          </w:p>
        </w:tc>
        <w:tc>
          <w:tcPr>
            <w:tcW w:w="3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4" w:name="xdx_989_eus-gaap--AvailableForSaleDebtSe"/>
            <w:bookmarkEnd w:id="274"/>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5" w:name="xdx_987_eus-gaap--DebtSecuritiesTradingA"/>
            <w:bookmarkEnd w:id="275"/>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3,743</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76" w:name="xdx_98F_eus-gaap--AvailableForSaleDebtSe"/>
            <w:bookmarkEnd w:id="276"/>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9,491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77" w:name="xdx_98B_eus-gaap--AvailableForSaleDebtSe"/>
            <w:bookmarkEnd w:id="277"/>
          </w:p>
        </w:tc>
        <w:tc>
          <w:tcPr>
            <w:tcW w:w="3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78" w:name="xdx_98E_eus-gaap--AvailableForSaleDebtSe"/>
            <w:bookmarkEnd w:id="278"/>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79" w:name="xdx_98D_eus-gaap--DebtSecuritiesTradingA"/>
            <w:bookmarkEnd w:id="279"/>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9,486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3035"/>
        <w:gridCol w:w="60"/>
        <w:gridCol w:w="184"/>
        <w:gridCol w:w="736"/>
        <w:gridCol w:w="60"/>
        <w:gridCol w:w="60"/>
        <w:gridCol w:w="475"/>
        <w:gridCol w:w="475"/>
        <w:gridCol w:w="60"/>
        <w:gridCol w:w="60"/>
        <w:gridCol w:w="565"/>
        <w:gridCol w:w="385"/>
        <w:gridCol w:w="60"/>
        <w:gridCol w:w="60"/>
        <w:gridCol w:w="140"/>
        <w:gridCol w:w="56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US Government Agency bonds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bookmarkStart w:id="280" w:name="xdx_981_eus-gaap--AvailableForSaleDebtSe"/>
            <w:bookmarkEnd w:id="280"/>
          </w:p>
        </w:tc>
        <w:tc>
          <w:tcPr>
            <w:tcW w:w="736" w:type="dxa"/>
            <w:tcBorders/>
            <w:shd w:fill="CCEEFF" w:val="clear"/>
            <w:vAlign w:val="center"/>
          </w:tcPr>
          <w:p>
            <w:pPr>
              <w:pStyle w:val="TableContents"/>
              <w:bidi w:val="0"/>
              <w:spacing w:before="0" w:after="283"/>
              <w:jc w:val="right"/>
              <w:rPr/>
            </w:pPr>
            <w:r>
              <w:rPr/>
              <w:t>7,977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w:t>
            </w:r>
            <w:bookmarkStart w:id="281" w:name="xdx_983_eus-gaap--AvailableForSaleDebtSe"/>
            <w:bookmarkEnd w:id="281"/>
          </w:p>
        </w:tc>
        <w:tc>
          <w:tcPr>
            <w:tcW w:w="475"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w:t>
            </w:r>
            <w:bookmarkStart w:id="282" w:name="xdx_989_eus-gaap--AvailableForSaleDebtSe"/>
            <w:bookmarkEnd w:id="282"/>
          </w:p>
        </w:tc>
        <w:tc>
          <w:tcPr>
            <w:tcW w:w="3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3" w:name="xdx_984_eus-gaap--DebtSecuritiesTradingA"/>
            <w:bookmarkEnd w:id="283"/>
          </w:p>
        </w:tc>
        <w:tc>
          <w:tcPr>
            <w:tcW w:w="560" w:type="dxa"/>
            <w:tcBorders/>
            <w:shd w:fill="CCEEFF" w:val="clear"/>
            <w:vAlign w:val="center"/>
          </w:tcPr>
          <w:p>
            <w:pPr>
              <w:pStyle w:val="TableContents"/>
              <w:bidi w:val="0"/>
              <w:spacing w:before="0" w:after="283"/>
              <w:jc w:val="right"/>
              <w:rPr/>
            </w:pPr>
            <w:r>
              <w:rPr/>
              <w:t>7,983</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US Treasury bonds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4" w:name="xdx_980_eus-gaap--AvailableForSaleDebtSe"/>
            <w:bookmarkEnd w:id="284"/>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pPr>
            <w:r>
              <w:rPr/>
              <w:t>1,279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5" w:name="xdx_98E_eus-gaap--AvailableForSaleDebtSe"/>
            <w:bookmarkEnd w:id="285"/>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6" w:name="xdx_98B_eus-gaap--AvailableForSaleDebtSe"/>
            <w:bookmarkEnd w:id="286"/>
          </w:p>
        </w:tc>
        <w:tc>
          <w:tcPr>
            <w:tcW w:w="3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7" w:name="xdx_989_eus-gaap--DebtSecuritiesTradingA"/>
            <w:bookmarkEnd w:id="287"/>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1,279</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8" w:name="xdx_98E_eus-gaap--AvailableForSaleDebtSe"/>
            <w:bookmarkEnd w:id="288"/>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9,256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9" w:name="xdx_98C_eus-gaap--AvailableForSaleDebtSe"/>
            <w:bookmarkEnd w:id="289"/>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0" w:name="xdx_98D_eus-gaap--AvailableForSaleDebtSe"/>
            <w:bookmarkEnd w:id="290"/>
          </w:p>
        </w:tc>
        <w:tc>
          <w:tcPr>
            <w:tcW w:w="3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1" w:name="xdx_985_eus-gaap--DebtSecuritiesTradingA"/>
            <w:bookmarkEnd w:id="291"/>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9,262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92" w:name="xdx_8A9_zB38EKwKqrdc"/>
      <w:bookmarkEnd w:id="29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all available-for-sale securities consisted of investments that mature within one year.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credit-related losses or impairments have been recognized on the Company’s marketable securities in available-for-sale securities during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93" w:name="xdx_80D_ecustom--BalanceSheetAccountsDis"/>
      <w:bookmarkEnd w:id="293"/>
      <w:r>
        <w:rPr>
          <w:rFonts w:ascii="Times New Roman;Times;Serif" w:hAnsi="Times New Roman;Times;Serif"/>
          <w:b/>
          <w:i w:val="false"/>
          <w:caps w:val="false"/>
          <w:smallCaps w:val="false"/>
          <w:sz w:val="20"/>
        </w:rPr>
        <w:t xml:space="preserve">NOTE 6 – </w:t>
      </w:r>
      <w:bookmarkStart w:id="294" w:name="xdx_82E_zsDFxjpFA8d"/>
      <w:bookmarkEnd w:id="294"/>
      <w:r>
        <w:rPr>
          <w:rFonts w:ascii="Times New Roman;Times;Serif" w:hAnsi="Times New Roman;Times;Serif"/>
          <w:b/>
          <w:i w:val="false"/>
          <w:caps w:val="false"/>
          <w:smallCaps w:val="false"/>
          <w:sz w:val="20"/>
        </w:rPr>
        <w:t>BALANCE SHEET ACCOUNTS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95" w:name="xdx_89A_eus-gaap--PropertyPlantAndEquipm"/>
      <w:bookmarkEnd w:id="295"/>
      <w:r>
        <w:rPr>
          <w:rFonts w:ascii="Times New Roman;Times;Serif" w:hAnsi="Times New Roman;Times;Serif"/>
          <w:b w:val="false"/>
          <w:i w:val="false"/>
          <w:caps w:val="false"/>
          <w:smallCaps w:val="false"/>
          <w:sz w:val="20"/>
        </w:rPr>
        <w:t>The following table summarizes the Company’s major classes of property and equipment:</w:t>
      </w:r>
    </w:p>
    <w:p>
      <w:pPr>
        <w:pStyle w:val="TextBody"/>
        <w:bidi w:val="0"/>
        <w:spacing w:before="0" w:after="0"/>
        <w:ind w:left="0" w:right="0" w:firstLine="720"/>
        <w:jc w:val="both"/>
        <w:rPr>
          <w:caps w:val="false"/>
          <w:smallCaps w:val="false"/>
        </w:rPr>
      </w:pPr>
      <w:r>
        <w:rPr>
          <w:caps w:val="false"/>
          <w:smallCaps w:val="false"/>
        </w:rPr>
        <w:t> </w:t>
      </w:r>
      <w:bookmarkStart w:id="296" w:name="xdx_8B0_z1PCTJrqR6t4"/>
      <w:bookmarkEnd w:id="296"/>
      <w:r>
        <w:rPr>
          <w:rFonts w:ascii="Times New Roman;Times;Serif" w:hAnsi="Times New Roman;Times;Serif"/>
          <w:b w:val="false"/>
          <w:i w:val="false"/>
          <w:caps w:val="false"/>
          <w:smallCaps w:val="false"/>
          <w:sz w:val="20"/>
        </w:rPr>
        <w:t>SCHEDULE OF PROPERTY AND EQUIPMENT</w:t>
      </w:r>
    </w:p>
    <w:tbl>
      <w:tblPr>
        <w:tblW w:w="7238" w:type="dxa"/>
        <w:jc w:val="left"/>
        <w:tblInd w:w="0" w:type="dxa"/>
        <w:tblLayout w:type="fixed"/>
        <w:tblCellMar>
          <w:top w:w="0" w:type="dxa"/>
          <w:left w:w="0" w:type="dxa"/>
          <w:bottom w:w="0" w:type="dxa"/>
          <w:right w:w="0" w:type="dxa"/>
        </w:tblCellMar>
      </w:tblPr>
      <w:tblGrid>
        <w:gridCol w:w="4625"/>
        <w:gridCol w:w="60"/>
        <w:gridCol w:w="158"/>
        <w:gridCol w:w="716"/>
        <w:gridCol w:w="95"/>
        <w:gridCol w:w="60"/>
        <w:gridCol w:w="254"/>
        <w:gridCol w:w="1160"/>
        <w:gridCol w:w="110"/>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97" w:name="xdx_49D_20260630_zoXaupmQYFPi"/>
            <w:bookmarkEnd w:id="297"/>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8" w:name="xdx_496_20251231_zFr0PtRsowli"/>
            <w:bookmarkEnd w:id="29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bookmarkStart w:id="299" w:name="xdx_405_eus-gaap--PropertyPlantAndEquipm"/>
            <w:bookmarkEnd w:id="299"/>
          </w:p>
        </w:tc>
      </w:tr>
      <w:tr>
        <w:trPr/>
        <w:tc>
          <w:tcPr>
            <w:tcW w:w="4625" w:type="dxa"/>
            <w:tcBorders/>
            <w:shd w:fill="CCEEFF" w:val="clear"/>
            <w:vAlign w:val="center"/>
          </w:tcPr>
          <w:p>
            <w:pPr>
              <w:pStyle w:val="TableContents"/>
              <w:bidi w:val="0"/>
              <w:spacing w:before="0" w:after="283"/>
              <w:jc w:val="left"/>
              <w:rPr/>
            </w:pPr>
            <w:r>
              <w:rPr/>
              <w:t>Furniture and office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148</w:t>
            </w:r>
          </w:p>
        </w:tc>
        <w:tc>
          <w:tcPr>
            <w:tcW w:w="110" w:type="dxa"/>
            <w:tcBorders/>
            <w:shd w:fill="CCEEFF" w:val="clear"/>
            <w:vAlign w:val="center"/>
          </w:tcPr>
          <w:p>
            <w:pPr>
              <w:pStyle w:val="TableContents"/>
              <w:bidi w:val="0"/>
              <w:spacing w:before="0" w:after="283"/>
              <w:jc w:val="left"/>
              <w:rPr/>
            </w:pPr>
            <w:r>
              <w:rPr/>
              <w:t> </w:t>
            </w:r>
            <w:bookmarkStart w:id="300" w:name="xdx_404_eus-gaap--PropertyPlantAndEquipm"/>
            <w:bookmarkEnd w:id="300"/>
          </w:p>
        </w:tc>
      </w:tr>
      <w:tr>
        <w:trPr/>
        <w:tc>
          <w:tcPr>
            <w:tcW w:w="462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2,918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2,918</w:t>
            </w:r>
          </w:p>
        </w:tc>
        <w:tc>
          <w:tcPr>
            <w:tcW w:w="110" w:type="dxa"/>
            <w:tcBorders/>
            <w:shd w:fill="FFFFFF" w:val="clear"/>
            <w:vAlign w:val="center"/>
          </w:tcPr>
          <w:p>
            <w:pPr>
              <w:pStyle w:val="TableContents"/>
              <w:bidi w:val="0"/>
              <w:spacing w:before="0" w:after="283"/>
              <w:jc w:val="left"/>
              <w:rPr/>
            </w:pPr>
            <w:r>
              <w:rPr/>
              <w:t> </w:t>
            </w:r>
            <w:bookmarkStart w:id="301" w:name="xdx_40C_eus-gaap--PropertyPlantAndEquipm"/>
            <w:bookmarkEnd w:id="301"/>
          </w:p>
        </w:tc>
      </w:tr>
      <w:tr>
        <w:trPr/>
        <w:tc>
          <w:tcPr>
            <w:tcW w:w="462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jc w:val="left"/>
              <w:rPr/>
            </w:pPr>
            <w:r>
              <w:rPr/>
              <w:t> </w:t>
            </w:r>
            <w:bookmarkStart w:id="302" w:name="xdx_405_eus-gaap--PropertyPlantAndEquipm"/>
            <w:bookmarkEnd w:id="302"/>
          </w:p>
        </w:tc>
      </w:tr>
      <w:tr>
        <w:trPr/>
        <w:tc>
          <w:tcPr>
            <w:tcW w:w="462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557</w:t>
            </w:r>
          </w:p>
        </w:tc>
        <w:tc>
          <w:tcPr>
            <w:tcW w:w="110" w:type="dxa"/>
            <w:tcBorders/>
            <w:shd w:fill="FFFFFF" w:val="clear"/>
            <w:vAlign w:val="center"/>
          </w:tcPr>
          <w:p>
            <w:pPr>
              <w:pStyle w:val="TableContents"/>
              <w:bidi w:val="0"/>
              <w:spacing w:before="0" w:after="283"/>
              <w:jc w:val="left"/>
              <w:rPr/>
            </w:pPr>
            <w:r>
              <w:rPr/>
              <w:t> </w:t>
            </w:r>
            <w:bookmarkStart w:id="303" w:name="xdx_40F_eus-gaap--PropertyPlantAndEquipm"/>
            <w:bookmarkEnd w:id="303"/>
          </w:p>
        </w:tc>
      </w:tr>
      <w:tr>
        <w:trPr/>
        <w:tc>
          <w:tcPr>
            <w:tcW w:w="4625" w:type="dxa"/>
            <w:tcBorders/>
            <w:shd w:fill="CCEEFF" w:val="clear"/>
            <w:vAlign w:val="center"/>
          </w:tcPr>
          <w:p>
            <w:pPr>
              <w:pStyle w:val="TableContents"/>
              <w:bidi w:val="0"/>
              <w:spacing w:before="0" w:after="283"/>
              <w:jc w:val="left"/>
              <w:rPr/>
            </w:pPr>
            <w:r>
              <w:rPr/>
              <w:t>Manufacturing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4" w:name="xdx_40D_eus-gaap--PropertyPlantAndEquipm"/>
            <w:bookmarkEnd w:id="304"/>
          </w:p>
        </w:tc>
      </w:tr>
      <w:tr>
        <w:trPr/>
        <w:tc>
          <w:tcPr>
            <w:tcW w:w="4625" w:type="dxa"/>
            <w:tcBorders/>
            <w:shd w:fill="FFFFFF" w:val="clear"/>
            <w:vAlign w:val="center"/>
          </w:tcPr>
          <w:p>
            <w:pPr>
              <w:pStyle w:val="TableContents"/>
              <w:bidi w:val="0"/>
              <w:spacing w:before="0" w:after="283"/>
              <w:jc w:val="left"/>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pPr>
            <w:r>
              <w:rPr/>
              <w:t>4,727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2,347</w:t>
            </w:r>
          </w:p>
        </w:tc>
        <w:tc>
          <w:tcPr>
            <w:tcW w:w="110" w:type="dxa"/>
            <w:tcBorders/>
            <w:shd w:fill="FFFFFF" w:val="clear"/>
            <w:vAlign w:val="center"/>
          </w:tcPr>
          <w:p>
            <w:pPr>
              <w:pStyle w:val="TableContents"/>
              <w:bidi w:val="0"/>
              <w:spacing w:before="0" w:after="283"/>
              <w:jc w:val="left"/>
              <w:rPr/>
            </w:pPr>
            <w:r>
              <w:rPr/>
              <w:t> </w:t>
            </w:r>
            <w:bookmarkStart w:id="305" w:name="xdx_408_eus-gaap--PropertyPlantAndEquipm"/>
            <w:bookmarkEnd w:id="305"/>
          </w:p>
        </w:tc>
      </w:tr>
      <w:tr>
        <w:trPr/>
        <w:tc>
          <w:tcPr>
            <w:tcW w:w="4625" w:type="dxa"/>
            <w:tcBorders/>
            <w:shd w:fill="CCEEFF" w:val="clear"/>
            <w:vAlign w:val="center"/>
          </w:tcPr>
          <w:p>
            <w:pPr>
              <w:pStyle w:val="TableContents"/>
              <w:bidi w:val="0"/>
              <w:spacing w:before="0" w:after="283"/>
              <w:jc w:val="left"/>
              <w:rPr/>
            </w:pPr>
            <w:r>
              <w:rPr/>
              <w:t>Total gross carrying amount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8,550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6,097</w:t>
            </w:r>
          </w:p>
        </w:tc>
        <w:tc>
          <w:tcPr>
            <w:tcW w:w="110" w:type="dxa"/>
            <w:tcBorders/>
            <w:shd w:fill="CCEEFF" w:val="clear"/>
            <w:vAlign w:val="center"/>
          </w:tcPr>
          <w:p>
            <w:pPr>
              <w:pStyle w:val="TableContents"/>
              <w:bidi w:val="0"/>
              <w:spacing w:before="0" w:after="283"/>
              <w:jc w:val="left"/>
              <w:rPr/>
            </w:pPr>
            <w:r>
              <w:rPr/>
              <w:t> </w:t>
            </w:r>
            <w:bookmarkStart w:id="306" w:name="xdx_407_eus-gaap--AccumulatedDepreciatio"/>
            <w:bookmarkEnd w:id="306"/>
          </w:p>
        </w:tc>
      </w:tr>
      <w:tr>
        <w:trPr/>
        <w:tc>
          <w:tcPr>
            <w:tcW w:w="462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pPr>
            <w:r>
              <w:rPr/>
              <w:t>(3,947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(3,927</w:t>
            </w:r>
          </w:p>
        </w:tc>
        <w:tc>
          <w:tcPr>
            <w:tcW w:w="110" w:type="dxa"/>
            <w:tcBorders/>
            <w:shd w:fill="FFFFFF" w:val="clear"/>
            <w:vAlign w:val="center"/>
          </w:tcPr>
          <w:p>
            <w:pPr>
              <w:pStyle w:val="TableContents"/>
              <w:bidi w:val="0"/>
              <w:spacing w:before="0" w:after="283"/>
              <w:jc w:val="left"/>
              <w:rPr/>
            </w:pPr>
            <w:r>
              <w:rPr/>
              <w:t>)</w:t>
            </w:r>
            <w:bookmarkStart w:id="307" w:name="xdx_405_eus-gaap--PropertyPlantAndEquipm"/>
            <w:bookmarkEnd w:id="307"/>
          </w:p>
        </w:tc>
      </w:tr>
      <w:tr>
        <w:trPr/>
        <w:tc>
          <w:tcPr>
            <w:tcW w:w="46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pPr>
            <w:r>
              <w:rPr/>
              <w:t>4,603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2,170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308" w:name="xdx_8A5_zAjRy79VNnOg"/>
      <w:bookmarkEnd w:id="30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each of the three months ended June 30, 2026 and 2025 was $</w:t>
      </w:r>
      <w:bookmarkStart w:id="309" w:name="xdx_90A_eus-gaap--Depreciation_pn3n3_c20"/>
      <w:bookmarkEnd w:id="309"/>
      <w:r>
        <w:rPr>
          <w:rFonts w:ascii="Times New Roman;Times;Serif" w:hAnsi="Times New Roman;Times;Serif"/>
          <w:b w:val="false"/>
          <w:i w:val="false"/>
          <w:caps w:val="false"/>
          <w:smallCaps w:val="false"/>
          <w:sz w:val="20"/>
        </w:rPr>
        <w:t>10 and $</w:t>
      </w:r>
      <w:bookmarkStart w:id="310" w:name="xdx_909_eus-gaap--Depreciation_pn3n3_c20"/>
      <w:bookmarkEnd w:id="310"/>
      <w:r>
        <w:rPr>
          <w:rFonts w:ascii="Times New Roman;Times;Serif" w:hAnsi="Times New Roman;Times;Serif"/>
          <w:b w:val="false"/>
          <w:i w:val="false"/>
          <w:caps w:val="false"/>
          <w:smallCaps w:val="false"/>
          <w:sz w:val="20"/>
        </w:rPr>
        <w:t>62, respectively. Depreciation expense for each of the six months ended June 30, 2026 and 2025 was $</w:t>
      </w:r>
      <w:bookmarkStart w:id="311" w:name="xdx_904_eus-gaap--Depreciation_pn3n3_c20"/>
      <w:bookmarkEnd w:id="311"/>
      <w:r>
        <w:rPr>
          <w:rFonts w:ascii="Times New Roman;Times;Serif" w:hAnsi="Times New Roman;Times;Serif"/>
          <w:b w:val="false"/>
          <w:i w:val="false"/>
          <w:caps w:val="false"/>
          <w:smallCaps w:val="false"/>
          <w:sz w:val="20"/>
        </w:rPr>
        <w:t>20 and $</w:t>
      </w:r>
      <w:bookmarkStart w:id="312" w:name="xdx_904_eus-gaap--Depreciation_pn3n3_c20"/>
      <w:bookmarkEnd w:id="312"/>
      <w:r>
        <w:rPr>
          <w:rFonts w:ascii="Times New Roman;Times;Serif" w:hAnsi="Times New Roman;Times;Serif"/>
          <w:b w:val="false"/>
          <w:i w:val="false"/>
          <w:caps w:val="false"/>
          <w:smallCaps w:val="false"/>
          <w:sz w:val="20"/>
        </w:rPr>
        <w:t>122,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is related to developments of the Company’s manufacturing and laboratory facilities in San Diego, California.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13" w:name="xdx_89B_eus-gaap--ScheduleOfAccruedLiabi"/>
      <w:bookmarkEnd w:id="313"/>
      <w:r>
        <w:rPr>
          <w:rFonts w:ascii="Times New Roman;Times;Serif" w:hAnsi="Times New Roman;Times;Serif"/>
          <w:b w:val="false"/>
          <w:i w:val="false"/>
          <w:caps w:val="false"/>
          <w:smallCaps w:val="false"/>
          <w:sz w:val="20"/>
        </w:rPr>
        <w:t>Accrued expenses consist of the following:</w:t>
      </w:r>
    </w:p>
    <w:p>
      <w:pPr>
        <w:pStyle w:val="TextBody"/>
        <w:bidi w:val="0"/>
        <w:spacing w:before="0" w:after="0"/>
        <w:ind w:left="0" w:right="0" w:hanging="0"/>
        <w:jc w:val="both"/>
        <w:rPr>
          <w:caps w:val="false"/>
          <w:smallCaps w:val="false"/>
        </w:rPr>
      </w:pPr>
      <w:r>
        <w:rPr>
          <w:caps w:val="false"/>
          <w:smallCaps w:val="false"/>
        </w:rPr>
        <w:t> </w:t>
      </w:r>
      <w:bookmarkStart w:id="314" w:name="xdx_8B5_zVs1nbCcluJk"/>
      <w:bookmarkEnd w:id="314"/>
      <w:r>
        <w:rPr>
          <w:rFonts w:ascii="Times New Roman;Times;Serif" w:hAnsi="Times New Roman;Times;Serif"/>
          <w:b w:val="false"/>
          <w:i w:val="false"/>
          <w:caps w:val="false"/>
          <w:smallCaps w:val="false"/>
          <w:sz w:val="20"/>
        </w:rPr>
        <w:t>SCHEDULE OF ACCRUED EXPENSE</w:t>
      </w:r>
    </w:p>
    <w:tbl>
      <w:tblPr>
        <w:tblW w:w="6825" w:type="dxa"/>
        <w:jc w:val="left"/>
        <w:tblInd w:w="0" w:type="dxa"/>
        <w:tblLayout w:type="fixed"/>
        <w:tblCellMar>
          <w:top w:w="0" w:type="dxa"/>
          <w:left w:w="0" w:type="dxa"/>
          <w:bottom w:w="0" w:type="dxa"/>
          <w:right w:w="0" w:type="dxa"/>
        </w:tblCellMar>
      </w:tblPr>
      <w:tblGrid>
        <w:gridCol w:w="4280"/>
        <w:gridCol w:w="60"/>
        <w:gridCol w:w="175"/>
        <w:gridCol w:w="700"/>
        <w:gridCol w:w="60"/>
        <w:gridCol w:w="60"/>
        <w:gridCol w:w="283"/>
        <w:gridCol w:w="1132"/>
        <w:gridCol w:w="75"/>
      </w:tblGrid>
      <w:tr>
        <w:trPr/>
        <w:tc>
          <w:tcPr>
            <w:tcW w:w="4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15" w:name="xdx_490_20260630_zqfhaGyTdDVc"/>
            <w:bookmarkEnd w:id="315"/>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6" w:name="xdx_494_20251231_z2NpamMHTsza"/>
            <w:bookmarkEnd w:id="316"/>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317" w:name="xdx_400_ecustom--AccruedResearchAndDevel"/>
            <w:bookmarkEnd w:id="317"/>
          </w:p>
        </w:tc>
      </w:tr>
      <w:tr>
        <w:trPr/>
        <w:tc>
          <w:tcPr>
            <w:tcW w:w="4280" w:type="dxa"/>
            <w:tcBorders/>
            <w:shd w:fill="CCEEFF" w:val="clear"/>
            <w:vAlign w:val="center"/>
          </w:tcPr>
          <w:p>
            <w:pPr>
              <w:pStyle w:val="TableContents"/>
              <w:bidi w:val="0"/>
              <w:spacing w:before="0" w:after="283"/>
              <w:jc w:val="both"/>
              <w:rPr/>
            </w:pPr>
            <w:r>
              <w:rPr/>
              <w:t>Accrued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3,903</w:t>
            </w:r>
          </w:p>
        </w:tc>
        <w:tc>
          <w:tcPr>
            <w:tcW w:w="75" w:type="dxa"/>
            <w:tcBorders/>
            <w:shd w:fill="CCEEFF" w:val="clear"/>
            <w:vAlign w:val="center"/>
          </w:tcPr>
          <w:p>
            <w:pPr>
              <w:pStyle w:val="TableContents"/>
              <w:bidi w:val="0"/>
              <w:spacing w:before="0" w:after="283"/>
              <w:jc w:val="left"/>
              <w:rPr/>
            </w:pPr>
            <w:r>
              <w:rPr/>
              <w:t> </w:t>
            </w:r>
            <w:bookmarkStart w:id="318" w:name="xdx_40F_eus-gaap--AccruedPayrollTaxesCur"/>
            <w:bookmarkEnd w:id="318"/>
          </w:p>
        </w:tc>
      </w:tr>
      <w:tr>
        <w:trPr/>
        <w:tc>
          <w:tcPr>
            <w:tcW w:w="4280" w:type="dxa"/>
            <w:tcBorders/>
            <w:shd w:fill="FFFFFF" w:val="clear"/>
            <w:vAlign w:val="center"/>
          </w:tcPr>
          <w:p>
            <w:pPr>
              <w:pStyle w:val="TableContents"/>
              <w:bidi w:val="0"/>
              <w:spacing w:before="0" w:after="283"/>
              <w:jc w:val="both"/>
              <w:rPr/>
            </w:pPr>
            <w:r>
              <w:rPr/>
              <w:t>Accrued personnel-related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1,440</w:t>
            </w:r>
          </w:p>
        </w:tc>
        <w:tc>
          <w:tcPr>
            <w:tcW w:w="75" w:type="dxa"/>
            <w:tcBorders/>
            <w:shd w:fill="FFFFFF" w:val="clear"/>
            <w:vAlign w:val="center"/>
          </w:tcPr>
          <w:p>
            <w:pPr>
              <w:pStyle w:val="TableContents"/>
              <w:bidi w:val="0"/>
              <w:spacing w:before="0" w:after="283"/>
              <w:jc w:val="left"/>
              <w:rPr/>
            </w:pPr>
            <w:r>
              <w:rPr/>
              <w:t> </w:t>
            </w:r>
            <w:bookmarkStart w:id="319" w:name="xdx_406_eus-gaap--OtherAccruedLiabilitie"/>
            <w:bookmarkEnd w:id="319"/>
          </w:p>
        </w:tc>
      </w:tr>
      <w:tr>
        <w:trPr/>
        <w:tc>
          <w:tcPr>
            <w:tcW w:w="4280"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bookmarkStart w:id="320" w:name="xdx_404_eus-gaap--AccruedLiabilitiesCurr"/>
            <w:bookmarkEnd w:id="320"/>
          </w:p>
        </w:tc>
      </w:tr>
      <w:tr>
        <w:trPr/>
        <w:tc>
          <w:tcPr>
            <w:tcW w:w="4280" w:type="dxa"/>
            <w:tcBorders/>
            <w:shd w:fill="FFFFFF" w:val="clear"/>
            <w:vAlign w:val="center"/>
          </w:tcPr>
          <w:p>
            <w:pPr>
              <w:pStyle w:val="TableContents"/>
              <w:bidi w:val="0"/>
              <w:spacing w:before="0" w:after="283"/>
              <w:jc w:val="both"/>
              <w:rPr/>
            </w:pPr>
            <w:r>
              <w:rPr/>
              <w:t>Total accrued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7,672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5,798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1" w:name="xdx_8AC_zxJk7MULuaLg"/>
      <w:bookmarkEnd w:id="32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accrued research and development expenses were primarily attributable to ongoing clinical trial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2" w:name="xdx_80F_eus-gaap--LesseeOperatingLeasesT"/>
      <w:bookmarkEnd w:id="322"/>
      <w:r>
        <w:rPr>
          <w:rFonts w:ascii="Times New Roman;Times;Serif" w:hAnsi="Times New Roman;Times;Serif"/>
          <w:b/>
          <w:i w:val="false"/>
          <w:caps w:val="false"/>
          <w:smallCaps w:val="false"/>
          <w:sz w:val="20"/>
        </w:rPr>
        <w:t xml:space="preserve">NOTE 7 – </w:t>
      </w:r>
      <w:bookmarkStart w:id="323" w:name="xdx_825_znL7xXg01qZi"/>
      <w:bookmarkEnd w:id="323"/>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Westlake Village, California:</w:t>
      </w:r>
      <w:r>
        <w:rPr>
          <w:rFonts w:ascii="Times New Roman;Times;Serif" w:hAnsi="Times New Roman;Times;Serif"/>
          <w:b w:val="false"/>
          <w:i w:val="false"/>
          <w:caps w:val="false"/>
          <w:smallCaps w:val="false"/>
          <w:sz w:val="20"/>
        </w:rPr>
        <w:t xml:space="preserve"> The Company leases </w:t>
      </w:r>
      <w:bookmarkStart w:id="324" w:name="xdx_904_eus-gaap--AreaOfLand_iI_usqft_c2"/>
      <w:bookmarkEnd w:id="324"/>
      <w:r>
        <w:rPr>
          <w:rFonts w:ascii="Times New Roman;Times;Serif" w:hAnsi="Times New Roman;Times;Serif"/>
          <w:b w:val="false"/>
          <w:i w:val="false"/>
          <w:caps w:val="false"/>
          <w:smallCaps w:val="false"/>
          <w:sz w:val="20"/>
        </w:rPr>
        <w:t xml:space="preserve">4,050 square feet of office space located at 2625 Townsgate Road for its corporate headquarters. The lease expires on </w:t>
      </w:r>
      <w:bookmarkStart w:id="325" w:name="xdx_90B_eus-gaap--LeaseExpirationDate1_d"/>
      <w:bookmarkEnd w:id="325"/>
      <w:r>
        <w:rPr>
          <w:rFonts w:ascii="Times New Roman;Times;Serif" w:hAnsi="Times New Roman;Times;Serif"/>
          <w:b w:val="false"/>
          <w:i w:val="false"/>
          <w:caps w:val="false"/>
          <w:smallCaps w:val="false"/>
          <w:sz w:val="20"/>
        </w:rPr>
        <w:t xml:space="preserve">July 14, 2027. </w:t>
      </w:r>
      <w:bookmarkStart w:id="326" w:name="xdx_90E_eus-gaap--LesseeOperatingLeaseOp"/>
      <w:bookmarkEnd w:id="326"/>
      <w:r>
        <w:rPr>
          <w:rFonts w:ascii="Times New Roman;Times;Serif" w:hAnsi="Times New Roman;Times;Serif"/>
          <w:b w:val="false"/>
          <w:i w:val="false"/>
          <w:caps w:val="false"/>
          <w:smallCaps w:val="false"/>
          <w:sz w:val="20"/>
        </w:rPr>
        <w:t>The lease contains an option to renew for two additional five-year terms and first right of refusal for certain additional space at the same premises. The Company is not reasonably certain that it will exercise this option to renew and therefore it is not included in right-of-use assets and liabilities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San Diego, California:</w:t>
      </w:r>
      <w:r>
        <w:rPr>
          <w:rFonts w:ascii="Times New Roman;Times;Serif" w:hAnsi="Times New Roman;Times;Serif"/>
          <w:b w:val="false"/>
          <w:i w:val="false"/>
          <w:caps w:val="false"/>
          <w:smallCaps w:val="false"/>
          <w:sz w:val="20"/>
        </w:rPr>
        <w:t xml:space="preserve"> The Company leases </w:t>
      </w:r>
      <w:bookmarkStart w:id="327" w:name="xdx_908_eus-gaap--AreaOfLand_iI_usqft_c2"/>
      <w:bookmarkEnd w:id="327"/>
      <w:r>
        <w:rPr>
          <w:rFonts w:ascii="Times New Roman;Times;Serif" w:hAnsi="Times New Roman;Times;Serif"/>
          <w:b w:val="false"/>
          <w:i w:val="false"/>
          <w:caps w:val="false"/>
          <w:smallCaps w:val="false"/>
          <w:sz w:val="20"/>
        </w:rPr>
        <w:t xml:space="preserve">6,755 square feet of office and research and development laboratory space located at 6365 Marindustry Drive. The lease was extended in March 2026 and expires on </w:t>
      </w:r>
      <w:bookmarkStart w:id="328" w:name="xdx_90E_eus-gaap--LeaseExpirationDate1_d"/>
      <w:bookmarkEnd w:id="328"/>
      <w:r>
        <w:rPr>
          <w:rFonts w:ascii="Times New Roman;Times;Serif" w:hAnsi="Times New Roman;Times;Serif"/>
          <w:b w:val="false"/>
          <w:i w:val="false"/>
          <w:caps w:val="false"/>
          <w:smallCaps w:val="false"/>
          <w:sz w:val="20"/>
        </w:rPr>
        <w:t>October 31, 2035.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leases </w:t>
      </w:r>
      <w:bookmarkStart w:id="329" w:name="xdx_902_eus-gaap--AreaOfLand_iI_usqft_c2"/>
      <w:bookmarkEnd w:id="329"/>
      <w:r>
        <w:rPr>
          <w:rFonts w:ascii="Times New Roman;Times;Serif" w:hAnsi="Times New Roman;Times;Serif"/>
          <w:b w:val="false"/>
          <w:i w:val="false"/>
          <w:caps w:val="false"/>
          <w:smallCaps w:val="false"/>
          <w:sz w:val="20"/>
        </w:rPr>
        <w:t xml:space="preserve">7,569 square feet of manufacturing space located at 6335 Marindustry Drive. The lease was extended in March 2026 and expires on </w:t>
      </w:r>
      <w:bookmarkStart w:id="330" w:name="xdx_90E_eus-gaap--LeaseExpirationDate1_d"/>
      <w:bookmarkEnd w:id="330"/>
      <w:r>
        <w:rPr>
          <w:rFonts w:ascii="Times New Roman;Times;Serif" w:hAnsi="Times New Roman;Times;Serif"/>
          <w:b w:val="false"/>
          <w:i w:val="false"/>
          <w:caps w:val="false"/>
          <w:smallCaps w:val="false"/>
          <w:sz w:val="20"/>
        </w:rPr>
        <w:t>October 31, 2035.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Company entered into a lease agreement, whereby the Company leases an office space located at 6215 Ferris Square, San Diego. The lease expires on </w:t>
      </w:r>
      <w:bookmarkStart w:id="331" w:name="xdx_909_eus-gaap--LeaseExpirationDate1_d"/>
      <w:bookmarkEnd w:id="331"/>
      <w:r>
        <w:rPr>
          <w:rFonts w:ascii="Times New Roman;Times;Serif" w:hAnsi="Times New Roman;Times;Serif"/>
          <w:b w:val="false"/>
          <w:i w:val="false"/>
          <w:caps w:val="false"/>
          <w:smallCaps w:val="false"/>
          <w:sz w:val="20"/>
        </w:rPr>
        <w:t>December 31, 2027. The lease contains an option to renew for one additional year. The Company is not reasonably certain that it will exercise this option to renew and therefore it is not included in right-of-use assets and liabilities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the Company executed amendments to extend the lease terms for the facilities located at 6335 Marindustry Drive and 6365 Marindustry Drive. The extensions modified the lease terms and resulted in a reassessment of the lease liability and right-of-use asset. As a result of the extensions, the Company remeasured the lease liability using a revised discount rate as of the modification date and recorded a corresponding adjustment to the right-of-use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Manufacturing equipment lease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On September 4, 2025, the Company entered into written agreements (Equipment Agreements), whereby the Company agreed to acquire certain equipment through a financing arrangement structured as a finance lease. </w:t>
      </w:r>
      <w:bookmarkStart w:id="332" w:name="xdx_90A_eus-gaap--LesseeOperatingLeaseDe"/>
      <w:bookmarkEnd w:id="332"/>
      <w:r>
        <w:rPr>
          <w:rFonts w:ascii="Times New Roman;Times;Serif" w:hAnsi="Times New Roman;Times;Serif"/>
          <w:b w:val="false"/>
          <w:i w:val="false"/>
          <w:caps w:val="false"/>
          <w:smallCaps w:val="false"/>
          <w:sz w:val="20"/>
        </w:rPr>
        <w:t>Lease commencement will occur when the equipment is made available to the Company, which is the final onsite installation date and is expected to be approximately 16 months after the execution of the Equipment Agreements, or approximately January 2027. The Company has the option to purchase the asset at the end of the lease term for the amount of $</w:t>
      </w:r>
      <w:bookmarkStart w:id="333" w:name="xdx_907_eus-gaap--ShortTermLeaseCommitme"/>
      <w:bookmarkEnd w:id="333"/>
      <w:r>
        <w:rPr>
          <w:rFonts w:ascii="Times New Roman;Times;Serif" w:hAnsi="Times New Roman;Times;Serif"/>
          <w:b w:val="false"/>
          <w:i w:val="false"/>
          <w:caps w:val="false"/>
          <w:smallCaps w:val="false"/>
          <w:sz w:val="20"/>
        </w:rPr>
        <w:t>1. At that time, recognition of the related finance lease asset and liability commences. Upon commencement, the lease term will be 60 months (Initial Term), with future lease payments up to approximately $</w:t>
      </w:r>
      <w:bookmarkStart w:id="334" w:name="xdx_907_eus-gaap--PaymentsToAcquireEquip"/>
      <w:bookmarkEnd w:id="334"/>
      <w:r>
        <w:rPr>
          <w:rFonts w:ascii="Times New Roman;Times;Serif" w:hAnsi="Times New Roman;Times;Serif"/>
          <w:b w:val="false"/>
          <w:i w:val="false"/>
          <w:caps w:val="false"/>
          <w:smallCaps w:val="false"/>
          <w:sz w:val="20"/>
        </w:rPr>
        <w:t>6.2 million. The Company has the right to terminate the lease without cause at the end of the Initial Term or any term thereafter upon 90 days prior written notice without incurring penalties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 right-of-use asset or liability has been recognized for the manufacturing equipment lease in the financial statements, as the Company does not have possession of the equipment. The Equipment Agreements also include a refundable security deposit, equal to $</w:t>
      </w:r>
      <w:bookmarkStart w:id="335" w:name="xdx_90B_eus-gaap--SecurityDeposit_iI_pn5"/>
      <w:bookmarkEnd w:id="335"/>
      <w:r>
        <w:rPr>
          <w:rFonts w:ascii="Times New Roman;Times;Serif" w:hAnsi="Times New Roman;Times;Serif"/>
          <w:b w:val="false"/>
          <w:i w:val="false"/>
          <w:caps w:val="false"/>
          <w:smallCaps w:val="false"/>
          <w:sz w:val="20"/>
        </w:rPr>
        <w:t>2.0 million as of June 30, 2026, which is classified as restricted cash on the Company’s condensed balance sheet.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36" w:name="xdx_891_ecustom--ScheduleOfComponentsOfL"/>
      <w:bookmarkEnd w:id="336"/>
      <w:r>
        <w:rPr>
          <w:rFonts w:ascii="Times New Roman;Times;Serif" w:hAnsi="Times New Roman;Times;Serif"/>
          <w:b w:val="false"/>
          <w:i w:val="false"/>
          <w:caps w:val="false"/>
          <w:smallCaps w:val="false"/>
          <w:sz w:val="20"/>
        </w:rPr>
        <w:t>The components of lease assets and liabilities along with their classification on the Company’s condensed balance sheets were as follows:</w:t>
      </w:r>
    </w:p>
    <w:p>
      <w:pPr>
        <w:pStyle w:val="TextBody"/>
        <w:bidi w:val="0"/>
        <w:spacing w:before="0" w:after="0"/>
        <w:ind w:left="0" w:right="0" w:hanging="0"/>
        <w:jc w:val="both"/>
        <w:rPr>
          <w:caps w:val="false"/>
          <w:smallCaps w:val="false"/>
        </w:rPr>
      </w:pPr>
      <w:r>
        <w:rPr>
          <w:caps w:val="false"/>
          <w:smallCaps w:val="false"/>
        </w:rPr>
        <w:t> </w:t>
      </w:r>
      <w:bookmarkStart w:id="337" w:name="xdx_8B7_zFKzAhrxlSA"/>
      <w:bookmarkEnd w:id="337"/>
      <w:r>
        <w:rPr>
          <w:rFonts w:ascii="Times New Roman;Times;Serif" w:hAnsi="Times New Roman;Times;Serif"/>
          <w:b w:val="false"/>
          <w:i w:val="false"/>
          <w:caps w:val="false"/>
          <w:smallCaps w:val="false"/>
          <w:sz w:val="20"/>
        </w:rPr>
        <w:t>SCHEDULE OF COMPONENTS OF LEASE ASSETS AND LIABILITIES</w:t>
      </w:r>
    </w:p>
    <w:tbl>
      <w:tblPr>
        <w:tblW w:w="9755" w:type="dxa"/>
        <w:jc w:val="left"/>
        <w:tblInd w:w="0" w:type="dxa"/>
        <w:tblLayout w:type="fixed"/>
        <w:tblCellMar>
          <w:top w:w="0" w:type="dxa"/>
          <w:left w:w="0" w:type="dxa"/>
          <w:bottom w:w="28" w:type="dxa"/>
          <w:right w:w="0" w:type="dxa"/>
        </w:tblCellMar>
      </w:tblPr>
      <w:tblGrid>
        <w:gridCol w:w="3560"/>
        <w:gridCol w:w="60"/>
        <w:gridCol w:w="3590"/>
        <w:gridCol w:w="60"/>
        <w:gridCol w:w="175"/>
        <w:gridCol w:w="700"/>
        <w:gridCol w:w="60"/>
        <w:gridCol w:w="60"/>
        <w:gridCol w:w="283"/>
        <w:gridCol w:w="1132"/>
        <w:gridCol w:w="75"/>
      </w:tblGrid>
      <w:tr>
        <w:trPr/>
        <w:tc>
          <w:tcPr>
            <w:tcW w:w="3560" w:type="dxa"/>
            <w:tcBorders>
              <w:bottom w:val="single" w:sz="8" w:space="0" w:color="000000"/>
            </w:tcBorders>
            <w:vAlign w:val="center"/>
          </w:tcPr>
          <w:p>
            <w:pPr>
              <w:pStyle w:val="TableContents"/>
              <w:bidi w:val="0"/>
              <w:spacing w:before="0" w:after="283"/>
              <w:jc w:val="center"/>
              <w:rPr>
                <w:b/>
              </w:rPr>
            </w:pPr>
            <w:r>
              <w:rPr>
                <w:b/>
              </w:rPr>
              <w:t>Lease Assets and Liabilities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bookmarkStart w:id="338" w:name="xdx_49D_20260630_zJAy2B9PcwNh"/>
            <w:bookmarkEnd w:id="338"/>
          </w:p>
        </w:tc>
        <w:tc>
          <w:tcPr>
            <w:tcW w:w="875" w:type="dxa"/>
            <w:gridSpan w:val="2"/>
            <w:tcBorders>
              <w:bottom w:val="single" w:sz="8"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39" w:name="xdx_496_20251231_z1ljHPi9Pd42"/>
            <w:bookmarkEnd w:id="339"/>
          </w:p>
        </w:tc>
        <w:tc>
          <w:tcPr>
            <w:tcW w:w="1415" w:type="dxa"/>
            <w:gridSpan w:val="2"/>
            <w:tcBorders>
              <w:bottom w:val="single" w:sz="8"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0" w:type="dxa"/>
            <w:gridSpan w:val="6"/>
            <w:tcBorders/>
            <w:tcMar>
              <w:bottom w:w="0" w:type="dxa"/>
            </w:tcMar>
            <w:vAlign w:val="center"/>
          </w:tcPr>
          <w:p>
            <w:pPr>
              <w:pStyle w:val="TableContents"/>
              <w:bidi w:val="0"/>
              <w:spacing w:before="0" w:after="283"/>
              <w:jc w:val="center"/>
              <w:rPr>
                <w:b/>
              </w:rPr>
            </w:pPr>
            <w:r>
              <w:rPr>
                <w:b/>
              </w:rPr>
              <w:t>(in thousands)</w:t>
            </w:r>
          </w:p>
        </w:tc>
        <w:tc>
          <w:tcPr>
            <w:tcW w:w="75" w:type="dxa"/>
            <w:tcBorders/>
            <w:tcMar>
              <w:bottom w:w="0" w:type="dxa"/>
            </w:tcMar>
            <w:vAlign w:val="center"/>
          </w:tcPr>
          <w:p>
            <w:pPr>
              <w:pStyle w:val="TableContents"/>
              <w:bidi w:val="0"/>
              <w:spacing w:before="0" w:after="283"/>
              <w:jc w:val="left"/>
              <w:rPr/>
            </w:pPr>
            <w:r>
              <w:rPr/>
              <w:t> </w:t>
            </w:r>
            <w:bookmarkStart w:id="340" w:name="xdx_40B_eus-gaap--OperatingLeaseRightOfU"/>
            <w:bookmarkEnd w:id="340"/>
          </w:p>
        </w:tc>
      </w:tr>
      <w:tr>
        <w:trPr/>
        <w:tc>
          <w:tcPr>
            <w:tcW w:w="3560" w:type="dxa"/>
            <w:tcBorders/>
            <w:shd w:fill="CCEEFF" w:val="clear"/>
            <w:tcMar>
              <w:bottom w:w="0" w:type="dxa"/>
            </w:tcMar>
            <w:vAlign w:val="center"/>
          </w:tcPr>
          <w:p>
            <w:pPr>
              <w:pStyle w:val="TableContents"/>
              <w:bidi w:val="0"/>
              <w:spacing w:before="0" w:after="283"/>
              <w:jc w:val="left"/>
              <w:rPr/>
            </w:pPr>
            <w:r>
              <w:rPr/>
              <w:t>Operating lease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left"/>
              <w:rPr/>
            </w:pPr>
            <w:r>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700" w:type="dxa"/>
            <w:tcBorders/>
            <w:shd w:fill="CCEEFF" w:val="clear"/>
            <w:tcMar>
              <w:bottom w:w="0" w:type="dxa"/>
            </w:tcMar>
            <w:vAlign w:val="center"/>
          </w:tcPr>
          <w:p>
            <w:pPr>
              <w:pStyle w:val="TableContents"/>
              <w:bidi w:val="0"/>
              <w:spacing w:before="0" w:after="283"/>
              <w:jc w:val="right"/>
              <w:rPr/>
            </w:pPr>
            <w:r>
              <w:rPr/>
              <w:t>2,312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1,583</w:t>
            </w:r>
          </w:p>
        </w:tc>
        <w:tc>
          <w:tcPr>
            <w:tcW w:w="75" w:type="dxa"/>
            <w:tcBorders/>
            <w:shd w:fill="CCEEFF" w:val="clear"/>
            <w:tcMar>
              <w:bottom w:w="0" w:type="dxa"/>
            </w:tcMar>
            <w:vAlign w:val="center"/>
          </w:tcPr>
          <w:p>
            <w:pPr>
              <w:pStyle w:val="TableContents"/>
              <w:bidi w:val="0"/>
              <w:spacing w:before="0" w:after="283"/>
              <w:jc w:val="left"/>
              <w:rPr/>
            </w:pPr>
            <w:r>
              <w:rPr/>
              <w:t> </w:t>
            </w:r>
            <w:bookmarkStart w:id="341" w:name="xdx_402_eus-gaap--OperatingLeaseLiabilit"/>
            <w:bookmarkEnd w:id="341"/>
          </w:p>
        </w:tc>
      </w:tr>
      <w:tr>
        <w:trPr/>
        <w:tc>
          <w:tcPr>
            <w:tcW w:w="3560" w:type="dxa"/>
            <w:tcBorders/>
            <w:shd w:fill="FFFFFF" w:val="clear"/>
            <w:tcMar>
              <w:bottom w:w="0" w:type="dxa"/>
            </w:tcMar>
            <w:vAlign w:val="center"/>
          </w:tcPr>
          <w:p>
            <w:pPr>
              <w:pStyle w:val="TableContents"/>
              <w:bidi w:val="0"/>
              <w:spacing w:before="0" w:after="283"/>
              <w:jc w:val="left"/>
              <w:rPr/>
            </w:pPr>
            <w:r>
              <w:rPr/>
              <w:t>Current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0" w:type="dxa"/>
            <w:tcBorders/>
            <w:shd w:fill="FFFFFF" w:val="clear"/>
            <w:tcMar>
              <w:bottom w:w="0" w:type="dxa"/>
            </w:tcMar>
            <w:vAlign w:val="center"/>
          </w:tcPr>
          <w:p>
            <w:pPr>
              <w:pStyle w:val="TableContents"/>
              <w:bidi w:val="0"/>
              <w:spacing w:before="0" w:after="283"/>
              <w:jc w:val="left"/>
              <w:rPr/>
            </w:pPr>
            <w:r>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pPr>
            <w:r>
              <w:rPr/>
              <w:t>326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427</w:t>
            </w:r>
          </w:p>
        </w:tc>
        <w:tc>
          <w:tcPr>
            <w:tcW w:w="75" w:type="dxa"/>
            <w:tcBorders/>
            <w:shd w:fill="FFFFFF" w:val="clear"/>
            <w:tcMar>
              <w:bottom w:w="0" w:type="dxa"/>
            </w:tcMar>
            <w:vAlign w:val="center"/>
          </w:tcPr>
          <w:p>
            <w:pPr>
              <w:pStyle w:val="TableContents"/>
              <w:bidi w:val="0"/>
              <w:spacing w:before="0" w:after="283"/>
              <w:jc w:val="left"/>
              <w:rPr/>
            </w:pPr>
            <w:r>
              <w:rPr/>
              <w:t> </w:t>
            </w:r>
            <w:bookmarkStart w:id="342" w:name="xdx_40E_eus-gaap--OperatingLeaseLiabilit"/>
            <w:bookmarkEnd w:id="342"/>
          </w:p>
        </w:tc>
      </w:tr>
      <w:tr>
        <w:trPr/>
        <w:tc>
          <w:tcPr>
            <w:tcW w:w="3560" w:type="dxa"/>
            <w:tcBorders/>
            <w:shd w:fill="CCEEFF" w:val="clear"/>
            <w:tcMar>
              <w:bottom w:w="0" w:type="dxa"/>
            </w:tcMar>
            <w:vAlign w:val="center"/>
          </w:tcPr>
          <w:p>
            <w:pPr>
              <w:pStyle w:val="TableContents"/>
              <w:bidi w:val="0"/>
              <w:spacing w:before="0" w:after="283"/>
              <w:jc w:val="left"/>
              <w:rPr/>
            </w:pPr>
            <w:r>
              <w:rPr/>
              <w:t>Non-current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left"/>
              <w:rPr/>
            </w:pPr>
            <w:r>
              <w:rPr/>
              <w:t>Lease liabilities,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pPr>
            <w:r>
              <w:rPr/>
              <w:t>2,094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1,258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3" w:name="xdx_8A3_ztpjXdr3nSbj"/>
      <w:bookmarkEnd w:id="343"/>
      <w:r>
        <w:rPr>
          <w:caps w:val="false"/>
          <w:smallCaps w:val="false"/>
        </w:rPr>
        <w:t> </w:t>
      </w:r>
    </w:p>
    <w:p>
      <w:pPr>
        <w:pStyle w:val="TextBody"/>
        <w:bidi w:val="0"/>
        <w:spacing w:before="0" w:after="0"/>
        <w:ind w:left="0" w:right="0" w:hanging="0"/>
        <w:jc w:val="both"/>
        <w:rPr>
          <w:caps w:val="false"/>
          <w:smallCaps w:val="false"/>
        </w:rPr>
      </w:pPr>
      <w:bookmarkStart w:id="344" w:name="xdx_899_eus-gaap--LeaseCostTableTextBloc"/>
      <w:bookmarkEnd w:id="344"/>
      <w:r>
        <w:rPr>
          <w:caps w:val="false"/>
          <w:smallCaps w:val="false"/>
        </w:rPr>
        <w:t> </w:t>
      </w:r>
      <w:bookmarkStart w:id="345" w:name="xdx_8B3_zoWOLGekRPGl"/>
      <w:bookmarkEnd w:id="345"/>
      <w:r>
        <w:rPr>
          <w:rFonts w:ascii="Times New Roman;Times;Serif" w:hAnsi="Times New Roman;Times;Serif"/>
          <w:b w:val="false"/>
          <w:i w:val="false"/>
          <w:caps w:val="false"/>
          <w:smallCaps w:val="false"/>
          <w:sz w:val="20"/>
        </w:rPr>
        <w:t>SCHEDULE OF LEASE COST</w:t>
      </w:r>
    </w:p>
    <w:tbl>
      <w:tblPr>
        <w:tblW w:w="9593" w:type="dxa"/>
        <w:jc w:val="left"/>
        <w:tblInd w:w="0" w:type="dxa"/>
        <w:tblLayout w:type="fixed"/>
        <w:tblCellMar>
          <w:top w:w="0" w:type="dxa"/>
          <w:left w:w="0" w:type="dxa"/>
          <w:bottom w:w="0" w:type="dxa"/>
          <w:right w:w="0" w:type="dxa"/>
        </w:tblCellMar>
      </w:tblPr>
      <w:tblGrid>
        <w:gridCol w:w="3395"/>
        <w:gridCol w:w="60"/>
        <w:gridCol w:w="488"/>
        <w:gridCol w:w="906"/>
        <w:gridCol w:w="167"/>
        <w:gridCol w:w="167"/>
        <w:gridCol w:w="488"/>
        <w:gridCol w:w="906"/>
        <w:gridCol w:w="60"/>
        <w:gridCol w:w="60"/>
        <w:gridCol w:w="346"/>
        <w:gridCol w:w="941"/>
        <w:gridCol w:w="148"/>
        <w:gridCol w:w="148"/>
        <w:gridCol w:w="433"/>
        <w:gridCol w:w="805"/>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6" w:name="xdx_496_20260401__20260630_zWB7m6CJrIse"/>
            <w:bookmarkEnd w:id="346"/>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bookmarkStart w:id="347" w:name="xdx_491_20250401__20250630_zKK3vS7SI4Xe"/>
            <w:bookmarkEnd w:id="347"/>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1_20260101__20260630_zOIskTUOME3h"/>
            <w:bookmarkEnd w:id="348"/>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bookmarkStart w:id="349" w:name="xdx_49E_20250101__20250630_z30YxPN3H4fc"/>
            <w:bookmarkEnd w:id="349"/>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63"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Lease Cost Classification</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50" w:name="xdx_40A_eus-gaap--LeaseCost_pn3n3_hsrt--"/>
            <w:bookmarkEnd w:id="350"/>
          </w:p>
        </w:tc>
      </w:tr>
      <w:tr>
        <w:trPr/>
        <w:tc>
          <w:tcPr>
            <w:tcW w:w="33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w:t>
            </w:r>
          </w:p>
        </w:tc>
        <w:tc>
          <w:tcPr>
            <w:tcW w:w="906" w:type="dxa"/>
            <w:tcBorders/>
            <w:shd w:fill="FFFFFF" w:val="clear"/>
            <w:vAlign w:val="center"/>
          </w:tcPr>
          <w:p>
            <w:pPr>
              <w:pStyle w:val="TableContents"/>
              <w:bidi w:val="0"/>
              <w:spacing w:before="0" w:after="283"/>
              <w:jc w:val="right"/>
              <w:rPr/>
            </w:pPr>
            <w:r>
              <w:rPr/>
              <w:t>74</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w:t>
            </w:r>
          </w:p>
        </w:tc>
        <w:tc>
          <w:tcPr>
            <w:tcW w:w="906" w:type="dxa"/>
            <w:tcBorders/>
            <w:shd w:fill="FFFFFF" w:val="cle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w:t>
            </w:r>
          </w:p>
        </w:tc>
        <w:tc>
          <w:tcPr>
            <w:tcW w:w="941" w:type="dxa"/>
            <w:tcBorders/>
            <w:shd w:fill="FFFFFF" w:val="clear"/>
            <w:vAlign w:val="center"/>
          </w:tcPr>
          <w:p>
            <w:pPr>
              <w:pStyle w:val="TableContents"/>
              <w:bidi w:val="0"/>
              <w:spacing w:before="0" w:after="283"/>
              <w:jc w:val="right"/>
              <w:rPr/>
            </w:pPr>
            <w:r>
              <w:rPr/>
              <w:t>122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w:t>
            </w:r>
          </w:p>
        </w:tc>
        <w:tc>
          <w:tcPr>
            <w:tcW w:w="805"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jc w:val="left"/>
              <w:rPr/>
            </w:pPr>
            <w:r>
              <w:rPr/>
              <w:t> </w:t>
            </w:r>
            <w:bookmarkStart w:id="351" w:name="xdx_40F_eus-gaap--LeaseCost_pn3n3_hsrt--"/>
            <w:bookmarkEnd w:id="351"/>
          </w:p>
        </w:tc>
      </w:tr>
      <w:tr>
        <w:trPr/>
        <w:tc>
          <w:tcPr>
            <w:tcW w:w="3395" w:type="dxa"/>
            <w:tcBorders/>
            <w:shd w:fill="CCEEFF" w:val="clear"/>
            <w:vAlign w:val="center"/>
          </w:tcPr>
          <w:p>
            <w:pPr>
              <w:pStyle w:val="TableContents"/>
              <w:bidi w:val="0"/>
              <w:spacing w:before="0" w:after="283"/>
              <w:jc w:val="left"/>
              <w:rPr/>
            </w:pPr>
            <w:r>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13</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bookmarkStart w:id="352" w:name="xdx_40E_eus-gaap--LeaseCost_pn3n3_hsrt--"/>
            <w:bookmarkEnd w:id="352"/>
          </w:p>
        </w:tc>
      </w:tr>
      <w:tr>
        <w:trPr/>
        <w:tc>
          <w:tcPr>
            <w:tcW w:w="3395" w:type="dxa"/>
            <w:tcBorders/>
            <w:shd w:fill="CCEEFF" w:val="clear"/>
            <w:vAlign w:val="center"/>
          </w:tcPr>
          <w:p>
            <w:pPr>
              <w:pStyle w:val="TableContents"/>
              <w:bidi w:val="0"/>
              <w:spacing w:before="0" w:after="283"/>
              <w:jc w:val="left"/>
              <w:rPr/>
            </w:pPr>
            <w:r>
              <w:rPr/>
              <w:t>Lease cost</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13</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3" w:name="xdx_8AC_zIwEzBi2jEL1"/>
      <w:bookmarkEnd w:id="35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54" w:name="xdx_89D_eus-gaap--LesseeOperatingLeaseLi"/>
      <w:bookmarkEnd w:id="354"/>
      <w:r>
        <w:rPr>
          <w:rFonts w:ascii="Times New Roman;Times;Serif" w:hAnsi="Times New Roman;Times;Serif"/>
          <w:b w:val="false"/>
          <w:i w:val="false"/>
          <w:caps w:val="false"/>
          <w:smallCaps w:val="false"/>
          <w:sz w:val="20"/>
        </w:rPr>
        <w:t>The following table presents maturities of operating lease liabilities on an undiscounted basis as of June 30, 2026:</w:t>
      </w:r>
    </w:p>
    <w:p>
      <w:pPr>
        <w:pStyle w:val="TextBody"/>
        <w:bidi w:val="0"/>
        <w:spacing w:before="0" w:after="0"/>
        <w:ind w:left="0" w:right="0" w:hanging="0"/>
        <w:jc w:val="left"/>
        <w:rPr>
          <w:caps w:val="false"/>
          <w:smallCaps w:val="false"/>
        </w:rPr>
      </w:pPr>
      <w:r>
        <w:rPr>
          <w:caps w:val="false"/>
          <w:smallCaps w:val="false"/>
        </w:rPr>
        <w:t> </w:t>
      </w:r>
      <w:bookmarkStart w:id="355" w:name="xdx_8B9_zksG4iXGefX5"/>
      <w:bookmarkEnd w:id="355"/>
      <w:r>
        <w:rPr>
          <w:rFonts w:ascii="Times New Roman;Times;Serif" w:hAnsi="Times New Roman;Times;Serif"/>
          <w:b w:val="false"/>
          <w:i w:val="false"/>
          <w:caps w:val="false"/>
          <w:smallCaps w:val="false"/>
          <w:sz w:val="20"/>
        </w:rPr>
        <w:t>SCHEDULE OF MATURITIES LEASE LIABILITIES</w:t>
      </w:r>
    </w:p>
    <w:tbl>
      <w:tblPr>
        <w:tblW w:w="6670" w:type="dxa"/>
        <w:jc w:val="left"/>
        <w:tblInd w:w="0" w:type="dxa"/>
        <w:tblLayout w:type="fixed"/>
        <w:tblCellMar>
          <w:top w:w="0" w:type="dxa"/>
          <w:left w:w="0" w:type="dxa"/>
          <w:bottom w:w="28" w:type="dxa"/>
          <w:right w:w="0" w:type="dxa"/>
        </w:tblCellMar>
      </w:tblPr>
      <w:tblGrid>
        <w:gridCol w:w="5345"/>
        <w:gridCol w:w="60"/>
        <w:gridCol w:w="238"/>
        <w:gridCol w:w="952"/>
        <w:gridCol w:w="75"/>
      </w:tblGrid>
      <w:tr>
        <w:trPr/>
        <w:tc>
          <w:tcPr>
            <w:tcW w:w="53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356" w:name="xdx_496_20260630_zZlxjKHphpce"/>
            <w:bookmarkEnd w:id="356"/>
          </w:p>
        </w:tc>
        <w:tc>
          <w:tcPr>
            <w:tcW w:w="1190" w:type="dxa"/>
            <w:gridSpan w:val="2"/>
            <w:tcBorders>
              <w:bottom w:val="single" w:sz="8" w:space="0" w:color="000000"/>
            </w:tcBorders>
            <w:vAlign w:val="center"/>
          </w:tcPr>
          <w:p>
            <w:pPr>
              <w:pStyle w:val="TableContents"/>
              <w:bidi w:val="0"/>
              <w:spacing w:before="0" w:after="283"/>
              <w:jc w:val="center"/>
              <w:rPr>
                <w:b/>
              </w:rPr>
            </w:pPr>
            <w:r>
              <w:rPr>
                <w:b/>
              </w:rPr>
              <w:t>Amounts</w:t>
            </w:r>
          </w:p>
        </w:tc>
        <w:tc>
          <w:tcPr>
            <w:tcW w:w="75" w:type="dxa"/>
            <w:tcBorders/>
            <w:tcMar>
              <w:bottom w:w="0" w:type="dxa"/>
            </w:tcM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gridSpan w:val="2"/>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75" w:type="dxa"/>
            <w:tcBorders/>
            <w:shd w:fill="FFFFFF" w:val="clear"/>
            <w:tcMar>
              <w:bottom w:w="0" w:type="dxa"/>
            </w:tcMar>
            <w:vAlign w:val="center"/>
          </w:tcPr>
          <w:p>
            <w:pPr>
              <w:pStyle w:val="TableContents"/>
              <w:bidi w:val="0"/>
              <w:spacing w:before="0" w:after="283"/>
              <w:jc w:val="left"/>
              <w:rPr/>
            </w:pPr>
            <w:r>
              <w:rPr/>
              <w:t> </w:t>
            </w:r>
            <w:bookmarkStart w:id="357" w:name="xdx_40A_eus-gaap--LesseeOperatingLeaseLi"/>
            <w:bookmarkEnd w:id="357"/>
          </w:p>
        </w:tc>
      </w:tr>
      <w:tr>
        <w:trPr/>
        <w:tc>
          <w:tcPr>
            <w:tcW w:w="5345" w:type="dxa"/>
            <w:tcBorders/>
            <w:shd w:fill="CCEEFF" w:val="clear"/>
            <w:tcMar>
              <w:bottom w:w="0" w:type="dxa"/>
            </w:tcMar>
            <w:vAlign w:val="center"/>
          </w:tcPr>
          <w:p>
            <w:pPr>
              <w:pStyle w:val="TableContents"/>
              <w:bidi w:val="0"/>
              <w:spacing w:before="0" w:after="283"/>
              <w:jc w:val="left"/>
              <w:rPr/>
            </w:pPr>
            <w:r>
              <w:rPr/>
              <w:t>For the 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270</w:t>
            </w:r>
          </w:p>
        </w:tc>
        <w:tc>
          <w:tcPr>
            <w:tcW w:w="75" w:type="dxa"/>
            <w:tcBorders/>
            <w:shd w:fill="CCEEFF" w:val="clear"/>
            <w:tcMar>
              <w:bottom w:w="0" w:type="dxa"/>
            </w:tcMar>
            <w:vAlign w:val="center"/>
          </w:tcPr>
          <w:p>
            <w:pPr>
              <w:pStyle w:val="TableContents"/>
              <w:bidi w:val="0"/>
              <w:spacing w:before="0" w:after="283"/>
              <w:jc w:val="left"/>
              <w:rPr/>
            </w:pPr>
            <w:r>
              <w:rPr/>
              <w:t> </w:t>
            </w:r>
            <w:bookmarkStart w:id="358" w:name="xdx_408_eus-gaap--LesseeOperatingLeaseLi"/>
            <w:bookmarkEnd w:id="358"/>
          </w:p>
        </w:tc>
      </w:tr>
      <w:tr>
        <w:trPr/>
        <w:tc>
          <w:tcPr>
            <w:tcW w:w="534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2" w:type="dxa"/>
            <w:tcBorders/>
            <w:shd w:fill="FFFFFF" w:val="clear"/>
            <w:tcMar>
              <w:bottom w:w="0" w:type="dxa"/>
            </w:tcMar>
            <w:vAlign w:val="center"/>
          </w:tcPr>
          <w:p>
            <w:pPr>
              <w:pStyle w:val="TableContents"/>
              <w:bidi w:val="0"/>
              <w:spacing w:before="0" w:after="283"/>
              <w:jc w:val="right"/>
              <w:rPr/>
            </w:pPr>
            <w:r>
              <w:rPr/>
              <w:t>489</w:t>
            </w:r>
          </w:p>
        </w:tc>
        <w:tc>
          <w:tcPr>
            <w:tcW w:w="75" w:type="dxa"/>
            <w:tcBorders/>
            <w:shd w:fill="FFFFFF" w:val="clear"/>
            <w:tcMar>
              <w:bottom w:w="0" w:type="dxa"/>
            </w:tcMar>
            <w:vAlign w:val="center"/>
          </w:tcPr>
          <w:p>
            <w:pPr>
              <w:pStyle w:val="TableContents"/>
              <w:bidi w:val="0"/>
              <w:spacing w:before="0" w:after="283"/>
              <w:jc w:val="left"/>
              <w:rPr/>
            </w:pPr>
            <w:r>
              <w:rPr/>
              <w:t> </w:t>
            </w:r>
            <w:bookmarkStart w:id="359" w:name="xdx_404_eus-gaap--LesseeOperatingLeaseLi"/>
            <w:bookmarkEnd w:id="359"/>
          </w:p>
        </w:tc>
      </w:tr>
      <w:tr>
        <w:trPr/>
        <w:tc>
          <w:tcPr>
            <w:tcW w:w="534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326</w:t>
            </w:r>
          </w:p>
        </w:tc>
        <w:tc>
          <w:tcPr>
            <w:tcW w:w="75" w:type="dxa"/>
            <w:tcBorders/>
            <w:shd w:fill="CCEEFF" w:val="clear"/>
            <w:tcMar>
              <w:bottom w:w="0" w:type="dxa"/>
            </w:tcMar>
            <w:vAlign w:val="center"/>
          </w:tcPr>
          <w:p>
            <w:pPr>
              <w:pStyle w:val="TableContents"/>
              <w:bidi w:val="0"/>
              <w:spacing w:before="0" w:after="283"/>
              <w:jc w:val="left"/>
              <w:rPr/>
            </w:pPr>
            <w:r>
              <w:rPr/>
              <w:t> </w:t>
            </w:r>
            <w:bookmarkStart w:id="360" w:name="xdx_407_eus-gaap--LesseeOperatingLeaseLi"/>
            <w:bookmarkEnd w:id="360"/>
          </w:p>
        </w:tc>
      </w:tr>
      <w:tr>
        <w:trPr/>
        <w:tc>
          <w:tcPr>
            <w:tcW w:w="534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2" w:type="dxa"/>
            <w:tcBorders/>
            <w:shd w:fill="FFFFFF" w:val="clear"/>
            <w:tcMar>
              <w:bottom w:w="0" w:type="dxa"/>
            </w:tcMar>
            <w:vAlign w:val="center"/>
          </w:tcPr>
          <w:p>
            <w:pPr>
              <w:pStyle w:val="TableContents"/>
              <w:bidi w:val="0"/>
              <w:spacing w:before="0" w:after="283"/>
              <w:jc w:val="right"/>
              <w:rPr/>
            </w:pPr>
            <w:r>
              <w:rPr/>
              <w:t>336</w:t>
            </w:r>
          </w:p>
        </w:tc>
        <w:tc>
          <w:tcPr>
            <w:tcW w:w="75" w:type="dxa"/>
            <w:tcBorders/>
            <w:shd w:fill="FFFFFF" w:val="clear"/>
            <w:tcMar>
              <w:bottom w:w="0" w:type="dxa"/>
            </w:tcMar>
            <w:vAlign w:val="center"/>
          </w:tcPr>
          <w:p>
            <w:pPr>
              <w:pStyle w:val="TableContents"/>
              <w:bidi w:val="0"/>
              <w:spacing w:before="0" w:after="283"/>
              <w:jc w:val="left"/>
              <w:rPr/>
            </w:pPr>
            <w:r>
              <w:rPr/>
              <w:t> </w:t>
            </w:r>
            <w:bookmarkStart w:id="361" w:name="xdx_407_eus-gaap--LesseeOperatingLeaseLi"/>
            <w:bookmarkEnd w:id="361"/>
          </w:p>
        </w:tc>
      </w:tr>
      <w:tr>
        <w:trPr/>
        <w:tc>
          <w:tcPr>
            <w:tcW w:w="534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347</w:t>
            </w:r>
          </w:p>
        </w:tc>
        <w:tc>
          <w:tcPr>
            <w:tcW w:w="75" w:type="dxa"/>
            <w:tcBorders/>
            <w:shd w:fill="CCEEFF" w:val="clear"/>
            <w:tcMar>
              <w:bottom w:w="0" w:type="dxa"/>
            </w:tcMar>
            <w:vAlign w:val="center"/>
          </w:tcPr>
          <w:p>
            <w:pPr>
              <w:pStyle w:val="TableContents"/>
              <w:bidi w:val="0"/>
              <w:spacing w:before="0" w:after="283"/>
              <w:jc w:val="left"/>
              <w:rPr/>
            </w:pPr>
            <w:r>
              <w:rPr/>
              <w:t> </w:t>
            </w:r>
            <w:bookmarkStart w:id="362" w:name="xdx_40E_ecustom--LesseeOperatingLeaseLia"/>
            <w:bookmarkEnd w:id="362"/>
          </w:p>
        </w:tc>
      </w:tr>
      <w:tr>
        <w:trPr/>
        <w:tc>
          <w:tcPr>
            <w:tcW w:w="534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FFFFFF" w:val="clear"/>
            <w:vAlign w:val="center"/>
          </w:tcPr>
          <w:p>
            <w:pPr>
              <w:pStyle w:val="TableContents"/>
              <w:bidi w:val="0"/>
              <w:spacing w:before="0" w:after="283"/>
              <w:jc w:val="left"/>
              <w:rPr/>
            </w:pPr>
            <w:r>
              <w:rPr/>
              <w:t> </w:t>
            </w:r>
          </w:p>
        </w:tc>
        <w:tc>
          <w:tcPr>
            <w:tcW w:w="952" w:type="dxa"/>
            <w:tcBorders>
              <w:bottom w:val="single" w:sz="8" w:space="0" w:color="000000"/>
            </w:tcBorders>
            <w:shd w:fill="FFFFFF" w:val="clear"/>
            <w:vAlign w:val="center"/>
          </w:tcPr>
          <w:p>
            <w:pPr>
              <w:pStyle w:val="TableContents"/>
              <w:bidi w:val="0"/>
              <w:spacing w:before="0" w:after="283"/>
              <w:jc w:val="right"/>
              <w:rPr/>
            </w:pPr>
            <w:r>
              <w:rPr/>
              <w:t>1,883</w:t>
            </w:r>
          </w:p>
        </w:tc>
        <w:tc>
          <w:tcPr>
            <w:tcW w:w="75" w:type="dxa"/>
            <w:tcBorders/>
            <w:shd w:fill="FFFFFF" w:val="clear"/>
            <w:tcMar>
              <w:bottom w:w="0" w:type="dxa"/>
            </w:tcMar>
            <w:vAlign w:val="center"/>
          </w:tcPr>
          <w:p>
            <w:pPr>
              <w:pStyle w:val="TableContents"/>
              <w:bidi w:val="0"/>
              <w:spacing w:before="0" w:after="283"/>
              <w:jc w:val="left"/>
              <w:rPr/>
            </w:pPr>
            <w:r>
              <w:rPr/>
              <w:t> </w:t>
            </w:r>
            <w:bookmarkStart w:id="363" w:name="xdx_40A_eus-gaap--LesseeOperatingLeaseLi"/>
            <w:bookmarkEnd w:id="363"/>
          </w:p>
        </w:tc>
      </w:tr>
      <w:tr>
        <w:trPr/>
        <w:tc>
          <w:tcPr>
            <w:tcW w:w="534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CCEEFF" w:val="clear"/>
            <w:vAlign w:val="center"/>
          </w:tcPr>
          <w:p>
            <w:pPr>
              <w:pStyle w:val="TableContents"/>
              <w:bidi w:val="0"/>
              <w:spacing w:before="0" w:after="283"/>
              <w:jc w:val="left"/>
              <w:rPr/>
            </w:pPr>
            <w:r>
              <w:rPr/>
              <w:t>$</w:t>
            </w:r>
          </w:p>
        </w:tc>
        <w:tc>
          <w:tcPr>
            <w:tcW w:w="952" w:type="dxa"/>
            <w:tcBorders>
              <w:bottom w:val="single" w:sz="8" w:space="0" w:color="000000"/>
            </w:tcBorders>
            <w:shd w:fill="CCEEFF" w:val="clear"/>
            <w:vAlign w:val="center"/>
          </w:tcPr>
          <w:p>
            <w:pPr>
              <w:pStyle w:val="TableContents"/>
              <w:bidi w:val="0"/>
              <w:spacing w:before="0" w:after="283"/>
              <w:jc w:val="right"/>
              <w:rPr/>
            </w:pPr>
            <w:r>
              <w:rPr/>
              <w:t>3,651</w:t>
            </w:r>
          </w:p>
        </w:tc>
        <w:tc>
          <w:tcPr>
            <w:tcW w:w="75" w:type="dxa"/>
            <w:tcBorders/>
            <w:shd w:fill="CCEEFF" w:val="clear"/>
            <w:tcMar>
              <w:bottom w:w="0" w:type="dxa"/>
            </w:tcMar>
            <w:vAlign w:val="center"/>
          </w:tcPr>
          <w:p>
            <w:pPr>
              <w:pStyle w:val="TableContents"/>
              <w:bidi w:val="0"/>
              <w:spacing w:before="0" w:after="283"/>
              <w:jc w:val="left"/>
              <w:rPr/>
            </w:pPr>
            <w:r>
              <w:rPr/>
              <w:t> </w:t>
            </w:r>
            <w:bookmarkStart w:id="364" w:name="xdx_409_eus-gaap--LesseeOperatingLeaseLi"/>
            <w:bookmarkEnd w:id="364"/>
          </w:p>
        </w:tc>
      </w:tr>
      <w:tr>
        <w:trPr/>
        <w:tc>
          <w:tcPr>
            <w:tcW w:w="5345"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FFFFFF" w:val="clear"/>
            <w:vAlign w:val="center"/>
          </w:tcPr>
          <w:p>
            <w:pPr>
              <w:pStyle w:val="TableContents"/>
              <w:bidi w:val="0"/>
              <w:spacing w:before="0" w:after="283"/>
              <w:jc w:val="left"/>
              <w:rPr/>
            </w:pPr>
            <w:r>
              <w:rPr/>
              <w:t> </w:t>
            </w:r>
          </w:p>
        </w:tc>
        <w:tc>
          <w:tcPr>
            <w:tcW w:w="952" w:type="dxa"/>
            <w:tcBorders>
              <w:bottom w:val="single" w:sz="8" w:space="0" w:color="000000"/>
            </w:tcBorders>
            <w:shd w:fill="FFFFFF" w:val="clear"/>
            <w:vAlign w:val="center"/>
          </w:tcPr>
          <w:p>
            <w:pPr>
              <w:pStyle w:val="TableContents"/>
              <w:bidi w:val="0"/>
              <w:spacing w:before="0" w:after="283"/>
              <w:jc w:val="right"/>
              <w:rPr/>
            </w:pPr>
            <w:r>
              <w:rPr/>
              <w:t>1,231</w:t>
            </w:r>
          </w:p>
        </w:tc>
        <w:tc>
          <w:tcPr>
            <w:tcW w:w="75" w:type="dxa"/>
            <w:tcBorders/>
            <w:shd w:fill="FFFFFF" w:val="clear"/>
            <w:tcMar>
              <w:bottom w:w="0" w:type="dxa"/>
            </w:tcMar>
            <w:vAlign w:val="center"/>
          </w:tcPr>
          <w:p>
            <w:pPr>
              <w:pStyle w:val="TableContents"/>
              <w:bidi w:val="0"/>
              <w:spacing w:before="0" w:after="283"/>
              <w:jc w:val="left"/>
              <w:rPr/>
            </w:pPr>
            <w:r>
              <w:rPr/>
              <w:t> </w:t>
            </w:r>
            <w:bookmarkStart w:id="365" w:name="xdx_40D_eus-gaap--OperatingLeaseLiabilit"/>
            <w:bookmarkEnd w:id="365"/>
          </w:p>
        </w:tc>
      </w:tr>
      <w:tr>
        <w:trPr/>
        <w:tc>
          <w:tcPr>
            <w:tcW w:w="5345" w:type="dxa"/>
            <w:tcBorders/>
            <w:shd w:fill="CCEEFF" w:val="clear"/>
            <w:tcMar>
              <w:bottom w:w="0" w:type="dxa"/>
            </w:tcMar>
            <w:vAlign w:val="center"/>
          </w:tcPr>
          <w:p>
            <w:pPr>
              <w:pStyle w:val="TableContents"/>
              <w:bidi w:val="0"/>
              <w:spacing w:before="0" w:after="283"/>
              <w:jc w:val="left"/>
              <w:rPr/>
            </w:pPr>
            <w:r>
              <w:rPr/>
              <w:t>Total operating lease liabilities (includes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bottom w:val="double" w:sz="6" w:space="0" w:color="000000"/>
            </w:tcBorders>
            <w:shd w:fill="CCEEFF" w:val="clear"/>
            <w:vAlign w:val="center"/>
          </w:tcPr>
          <w:p>
            <w:pPr>
              <w:pStyle w:val="TableContents"/>
              <w:bidi w:val="0"/>
              <w:spacing w:before="0" w:after="283"/>
              <w:jc w:val="left"/>
              <w:rPr/>
            </w:pPr>
            <w:r>
              <w:rPr/>
              <w:t>$</w:t>
            </w:r>
          </w:p>
        </w:tc>
        <w:tc>
          <w:tcPr>
            <w:tcW w:w="952" w:type="dxa"/>
            <w:tcBorders>
              <w:bottom w:val="double" w:sz="6" w:space="0" w:color="000000"/>
            </w:tcBorders>
            <w:shd w:fill="CCEEFF" w:val="clear"/>
            <w:vAlign w:val="center"/>
          </w:tcPr>
          <w:p>
            <w:pPr>
              <w:pStyle w:val="TableContents"/>
              <w:bidi w:val="0"/>
              <w:spacing w:before="0" w:after="283"/>
              <w:jc w:val="right"/>
              <w:rPr/>
            </w:pPr>
            <w:r>
              <w:rPr/>
              <w:t>2,420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6" w:name="xdx_8A4_zwDnwKpcHhs6"/>
      <w:bookmarkEnd w:id="36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67" w:name="xdx_892_eus-gaap--ScheduleOfCashFlowSupp"/>
      <w:bookmarkEnd w:id="367"/>
      <w:r>
        <w:rPr>
          <w:rFonts w:ascii="Times New Roman;Times;Serif" w:hAnsi="Times New Roman;Times;Serif"/>
          <w:b w:val="false"/>
          <w:i w:val="false"/>
          <w:caps w:val="false"/>
          <w:smallCaps w:val="false"/>
          <w:sz w:val="20"/>
        </w:rPr>
        <w:t>The following table presents supplemental cash flow and other information:</w:t>
      </w:r>
    </w:p>
    <w:p>
      <w:pPr>
        <w:pStyle w:val="TextBody"/>
        <w:bidi w:val="0"/>
        <w:spacing w:before="0" w:after="0"/>
        <w:ind w:left="0" w:right="0" w:firstLine="720"/>
        <w:jc w:val="both"/>
        <w:rPr>
          <w:caps w:val="false"/>
          <w:smallCaps w:val="false"/>
        </w:rPr>
      </w:pPr>
      <w:r>
        <w:rPr>
          <w:caps w:val="false"/>
          <w:smallCaps w:val="false"/>
        </w:rPr>
        <w:t> </w:t>
      </w:r>
      <w:bookmarkStart w:id="368" w:name="xdx_8BC_z1jlPx1I4K05"/>
      <w:bookmarkEnd w:id="368"/>
      <w:r>
        <w:rPr>
          <w:rFonts w:ascii="Times New Roman;Times;Serif" w:hAnsi="Times New Roman;Times;Serif"/>
          <w:b w:val="false"/>
          <w:i w:val="false"/>
          <w:caps w:val="false"/>
          <w:smallCaps w:val="false"/>
          <w:sz w:val="20"/>
        </w:rPr>
        <w:t>SCHEDULE OF SUPPLEMENTAL CASH FLOW AND OTHER INFORMATION RELATED LEASES</w:t>
      </w:r>
    </w:p>
    <w:tbl>
      <w:tblPr>
        <w:tblW w:w="10205" w:type="dxa"/>
        <w:jc w:val="left"/>
        <w:tblInd w:w="0" w:type="dxa"/>
        <w:tblLayout w:type="fixed"/>
        <w:tblCellMar>
          <w:top w:w="0" w:type="dxa"/>
          <w:left w:w="0" w:type="dxa"/>
          <w:bottom w:w="0" w:type="dxa"/>
          <w:right w:w="0" w:type="dxa"/>
        </w:tblCellMar>
      </w:tblPr>
      <w:tblGrid>
        <w:gridCol w:w="6424"/>
        <w:gridCol w:w="60"/>
        <w:gridCol w:w="371"/>
        <w:gridCol w:w="1009"/>
        <w:gridCol w:w="570"/>
        <w:gridCol w:w="158"/>
        <w:gridCol w:w="371"/>
        <w:gridCol w:w="1009"/>
        <w:gridCol w:w="233"/>
      </w:tblGrid>
      <w:tr>
        <w:trPr/>
        <w:tc>
          <w:tcPr>
            <w:tcW w:w="6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9A_20260101__20260630_zBMFVOOJnlAd"/>
            <w:bookmarkEnd w:id="369"/>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57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bookmarkStart w:id="370" w:name="xdx_49D_20250101__20250630_z2wem8P2X96"/>
            <w:bookmarkEnd w:id="370"/>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3" w:type="dxa"/>
            <w:tcBorders/>
            <w:vAlign w:val="center"/>
          </w:tcPr>
          <w:p>
            <w:pPr>
              <w:pStyle w:val="TableContents"/>
              <w:bidi w:val="0"/>
              <w:spacing w:before="0" w:after="283"/>
              <w:jc w:val="left"/>
              <w:rPr/>
            </w:pPr>
            <w:r>
              <w:rPr/>
              <w:t> </w:t>
            </w:r>
          </w:p>
        </w:tc>
      </w:tr>
      <w:tr>
        <w:trPr/>
        <w:tc>
          <w:tcPr>
            <w:tcW w:w="6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3" w:type="dxa"/>
            <w:tcBorders/>
            <w:vAlign w:val="center"/>
          </w:tcPr>
          <w:p>
            <w:pPr>
              <w:pStyle w:val="TableContents"/>
              <w:bidi w:val="0"/>
              <w:spacing w:before="0" w:after="283"/>
              <w:jc w:val="left"/>
              <w:rPr/>
            </w:pPr>
            <w:r>
              <w:rPr/>
              <w:t> </w:t>
            </w:r>
          </w:p>
        </w:tc>
      </w:tr>
      <w:tr>
        <w:trPr/>
        <w:tc>
          <w:tcPr>
            <w:tcW w:w="6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57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3" w:type="dxa"/>
            <w:tcBorders/>
            <w:vAlign w:val="center"/>
          </w:tcPr>
          <w:p>
            <w:pPr>
              <w:pStyle w:val="TableContents"/>
              <w:bidi w:val="0"/>
              <w:spacing w:before="0" w:after="283"/>
              <w:jc w:val="left"/>
              <w:rPr/>
            </w:pPr>
            <w:r>
              <w:rPr/>
              <w:t> </w:t>
            </w:r>
          </w:p>
        </w:tc>
      </w:tr>
      <w:tr>
        <w:trPr/>
        <w:tc>
          <w:tcPr>
            <w:tcW w:w="6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8" w:type="dxa"/>
            <w:gridSpan w:val="6"/>
            <w:tcBorders/>
            <w:vAlign w:val="center"/>
          </w:tcPr>
          <w:p>
            <w:pPr>
              <w:pStyle w:val="TableContents"/>
              <w:bidi w:val="0"/>
              <w:spacing w:before="0" w:after="283"/>
              <w:jc w:val="center"/>
              <w:rPr>
                <w:b/>
              </w:rPr>
            </w:pPr>
            <w:r>
              <w:rPr>
                <w:b/>
              </w:rPr>
              <w:t>(in thousands, except discount rate)</w:t>
            </w:r>
          </w:p>
        </w:tc>
        <w:tc>
          <w:tcPr>
            <w:tcW w:w="233" w:type="dxa"/>
            <w:tcBorders/>
            <w:vAlign w:val="center"/>
          </w:tcPr>
          <w:p>
            <w:pPr>
              <w:pStyle w:val="TableContents"/>
              <w:bidi w:val="0"/>
              <w:spacing w:before="0" w:after="283"/>
              <w:jc w:val="left"/>
              <w:rPr/>
            </w:pPr>
            <w:r>
              <w:rPr/>
              <w:t> </w:t>
            </w:r>
          </w:p>
        </w:tc>
      </w:tr>
      <w:tr>
        <w:trPr/>
        <w:tc>
          <w:tcPr>
            <w:tcW w:w="6424"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bookmarkStart w:id="371" w:name="xdx_90E_eus-gaap--OperatingLeaseWeighted"/>
            <w:bookmarkEnd w:id="371"/>
            <w:r>
              <w:rPr/>
              <w:t>8.7</w:t>
            </w:r>
          </w:p>
        </w:tc>
        <w:tc>
          <w:tcPr>
            <w:tcW w:w="57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bookmarkStart w:id="372" w:name="xdx_905_eus-gaap--OperatingLeaseWeighted"/>
            <w:bookmarkEnd w:id="372"/>
            <w:r>
              <w:rPr/>
              <w:t>4.8</w:t>
            </w:r>
          </w:p>
        </w:tc>
        <w:tc>
          <w:tcPr>
            <w:tcW w:w="233" w:type="dxa"/>
            <w:tcBorders/>
            <w:shd w:fill="CCEEFF" w:val="clear"/>
            <w:vAlign w:val="center"/>
          </w:tcPr>
          <w:p>
            <w:pPr>
              <w:pStyle w:val="TableContents"/>
              <w:bidi w:val="0"/>
              <w:spacing w:before="0" w:after="283"/>
              <w:jc w:val="left"/>
              <w:rPr/>
            </w:pPr>
            <w:r>
              <w:rPr/>
              <w:t> </w:t>
            </w:r>
          </w:p>
        </w:tc>
      </w:tr>
      <w:tr>
        <w:trPr/>
        <w:tc>
          <w:tcPr>
            <w:tcW w:w="6424" w:type="dxa"/>
            <w:tcBorders/>
            <w:shd w:fill="FFFFFF" w:val="clear"/>
            <w:vAlign w:val="center"/>
          </w:tcPr>
          <w:p>
            <w:pPr>
              <w:pStyle w:val="TableContents"/>
              <w:bidi w:val="0"/>
              <w:spacing w:before="0" w:after="283"/>
              <w:jc w:val="left"/>
              <w:rPr/>
            </w:pPr>
            <w:r>
              <w:rPr/>
              <w:t>Weighted-average discount rate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bookmarkStart w:id="373" w:name="xdx_907_eus-gaap--OperatingLeaseWeighted"/>
            <w:bookmarkEnd w:id="373"/>
            <w:r>
              <w:rPr/>
              <w:t>9.7</w:t>
            </w:r>
          </w:p>
        </w:tc>
        <w:tc>
          <w:tcPr>
            <w:tcW w:w="570" w:type="dxa"/>
            <w:tcBorders/>
            <w:shd w:fill="FFFFFF" w:val="clear"/>
            <w:vAlign w:val="center"/>
          </w:tcPr>
          <w:p>
            <w:pPr>
              <w:pStyle w:val="TableContents"/>
              <w:bidi w:val="0"/>
              <w:spacing w:before="0" w:after="283"/>
              <w:jc w:val="left"/>
              <w:rPr/>
            </w:pPr>
            <w:r>
              <w:rPr/>
              <w:t>%</w:t>
            </w:r>
          </w:p>
        </w:tc>
        <w:tc>
          <w:tcPr>
            <w:tcW w:w="158"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bookmarkStart w:id="374" w:name="xdx_902_eus-gaap--OperatingLeaseWeighted"/>
            <w:bookmarkEnd w:id="374"/>
            <w:r>
              <w:rPr/>
              <w:t>6.5</w:t>
            </w:r>
          </w:p>
        </w:tc>
        <w:tc>
          <w:tcPr>
            <w:tcW w:w="233" w:type="dxa"/>
            <w:tcBorders/>
            <w:shd w:fill="FFFFFF" w:val="clear"/>
            <w:vAlign w:val="center"/>
          </w:tcPr>
          <w:p>
            <w:pPr>
              <w:pStyle w:val="TableContents"/>
              <w:bidi w:val="0"/>
              <w:spacing w:before="0" w:after="283"/>
              <w:jc w:val="left"/>
              <w:rPr/>
            </w:pPr>
            <w:r>
              <w:rPr/>
              <w:t>%</w:t>
            </w:r>
          </w:p>
        </w:tc>
      </w:tr>
      <w:tr>
        <w:trPr/>
        <w:tc>
          <w:tcPr>
            <w:tcW w:w="6424"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bookmarkStart w:id="375" w:name="xdx_407_eus-gaap--OperatingLeasePayments"/>
            <w:bookmarkEnd w:id="375"/>
          </w:p>
        </w:tc>
      </w:tr>
      <w:tr>
        <w:trPr/>
        <w:tc>
          <w:tcPr>
            <w:tcW w:w="6424" w:type="dxa"/>
            <w:tcBorders/>
            <w:shd w:fill="FFFFFF" w:val="clear"/>
            <w:vAlign w:val="center"/>
          </w:tcPr>
          <w:p>
            <w:pPr>
              <w:pStyle w:val="TableContents"/>
              <w:bidi w:val="0"/>
              <w:spacing w:before="0" w:after="283"/>
              <w:jc w:val="left"/>
              <w:rPr/>
            </w:pPr>
            <w:r>
              <w:rPr/>
              <w:t>Operating cash flows for operating leases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259</w:t>
            </w:r>
          </w:p>
        </w:tc>
        <w:tc>
          <w:tcPr>
            <w:tcW w:w="57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219</w:t>
            </w:r>
          </w:p>
        </w:tc>
        <w:tc>
          <w:tcPr>
            <w:tcW w:w="23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6" w:name="xdx_8A2_zvuGpHtInne1"/>
      <w:bookmarkEnd w:id="37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Company entered into a short-term lease agreement for one of its office facilities, which was subsequently extended until December 2022 and thereafter on a month-to-month basis. No rent expense was recorded during the six months ended June 30, 2026 and was de minimis during the six months ended June 30, 2025. In February 2026, the Company terminated the lease agreement effective March 31,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7" w:name="xdx_805_eus-gaap--CommitmentsAndContinge"/>
      <w:bookmarkEnd w:id="377"/>
      <w:r>
        <w:rPr>
          <w:rFonts w:ascii="Times New Roman;Times;Serif" w:hAnsi="Times New Roman;Times;Serif"/>
          <w:b/>
          <w:i w:val="false"/>
          <w:caps w:val="false"/>
          <w:smallCaps w:val="false"/>
          <w:sz w:val="20"/>
        </w:rPr>
        <w:t xml:space="preserve">NOTE 8 – </w:t>
      </w:r>
      <w:bookmarkStart w:id="378" w:name="xdx_82C_ztAPi7Qnzuya"/>
      <w:bookmarkEnd w:id="37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liability for the estimated loss. There were no contingent liabilities recorded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9" w:name="xdx_80B_eus-gaap--StockholdersEquityNote"/>
      <w:bookmarkEnd w:id="379"/>
      <w:r>
        <w:rPr>
          <w:rFonts w:ascii="Times New Roman;Times;Serif" w:hAnsi="Times New Roman;Times;Serif"/>
          <w:b/>
          <w:i w:val="false"/>
          <w:caps w:val="false"/>
          <w:smallCaps w:val="false"/>
          <w:sz w:val="20"/>
        </w:rPr>
        <w:t xml:space="preserve">NOTE 9 – </w:t>
      </w:r>
      <w:bookmarkStart w:id="380" w:name="xdx_82A_zg25Ts2LYgkj"/>
      <w:bookmarkEnd w:id="380"/>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81" w:name="xdx_899_eus-gaap--ScheduleOfStockholders"/>
      <w:bookmarkEnd w:id="381"/>
      <w:r>
        <w:rPr>
          <w:rFonts w:ascii="Times New Roman;Times;Serif" w:hAnsi="Times New Roman;Times;Serif"/>
          <w:b w:val="false"/>
          <w:i w:val="false"/>
          <w:caps w:val="false"/>
          <w:smallCaps w:val="false"/>
          <w:sz w:val="20"/>
        </w:rPr>
        <w:t>The following table summarizes the Company’s shares of preferred stock and common stock:</w:t>
      </w:r>
    </w:p>
    <w:p>
      <w:pPr>
        <w:pStyle w:val="TextBody"/>
        <w:bidi w:val="0"/>
        <w:spacing w:before="0" w:after="0"/>
        <w:ind w:left="0" w:right="0" w:hanging="0"/>
        <w:jc w:val="left"/>
        <w:rPr>
          <w:caps w:val="false"/>
          <w:smallCaps w:val="false"/>
        </w:rPr>
      </w:pPr>
      <w:r>
        <w:rPr>
          <w:caps w:val="false"/>
          <w:smallCaps w:val="false"/>
        </w:rPr>
        <w:t> </w:t>
      </w:r>
      <w:bookmarkStart w:id="382" w:name="xdx_8BD_zgrkaBk3wWSi"/>
      <w:bookmarkEnd w:id="382"/>
      <w:r>
        <w:rPr>
          <w:rFonts w:ascii="Times New Roman;Times;Serif" w:hAnsi="Times New Roman;Times;Serif"/>
          <w:b w:val="false"/>
          <w:i w:val="false"/>
          <w:caps w:val="false"/>
          <w:smallCaps w:val="false"/>
          <w:sz w:val="20"/>
        </w:rPr>
        <w:t>SCHEDULE OF PREFERRED STOCK AND COMMON STOCK</w:t>
      </w:r>
    </w:p>
    <w:tbl>
      <w:tblPr>
        <w:tblW w:w="7824" w:type="dxa"/>
        <w:jc w:val="left"/>
        <w:tblInd w:w="0" w:type="dxa"/>
        <w:tblLayout w:type="fixed"/>
        <w:tblCellMar>
          <w:top w:w="0" w:type="dxa"/>
          <w:left w:w="0" w:type="dxa"/>
          <w:bottom w:w="0" w:type="dxa"/>
          <w:right w:w="0" w:type="dxa"/>
        </w:tblCellMar>
      </w:tblPr>
      <w:tblGrid>
        <w:gridCol w:w="2555"/>
        <w:gridCol w:w="60"/>
        <w:gridCol w:w="102"/>
        <w:gridCol w:w="952"/>
        <w:gridCol w:w="60"/>
        <w:gridCol w:w="60"/>
        <w:gridCol w:w="60"/>
        <w:gridCol w:w="1220"/>
        <w:gridCol w:w="60"/>
        <w:gridCol w:w="60"/>
        <w:gridCol w:w="60"/>
        <w:gridCol w:w="1100"/>
        <w:gridCol w:w="60"/>
        <w:gridCol w:w="60"/>
        <w:gridCol w:w="66"/>
        <w:gridCol w:w="1214"/>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As of June 30, 2026</w:t>
            </w:r>
          </w:p>
        </w:tc>
        <w:tc>
          <w:tcPr>
            <w:tcW w:w="60"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383" w:name="xdx_989_eus-gaap--PreferredStockParOrSta"/>
            <w:bookmarkEnd w:id="383"/>
          </w:p>
        </w:tc>
        <w:tc>
          <w:tcPr>
            <w:tcW w:w="952" w:type="dxa"/>
            <w:tcBorders/>
            <w:shd w:fill="FFFFFF" w:val="clear"/>
            <w:vAlign w:val="center"/>
          </w:tcPr>
          <w:p>
            <w:pPr>
              <w:pStyle w:val="TableContents"/>
              <w:bidi w:val="0"/>
              <w:spacing w:before="0" w:after="283"/>
              <w:jc w:val="right"/>
              <w:rPr/>
            </w:pPr>
            <w:r>
              <w:rPr/>
              <w:t>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4" w:name="xdx_98A_eus-gaap--PreferredStockSharesAu"/>
            <w:bookmarkEnd w:id="384"/>
          </w:p>
        </w:tc>
        <w:tc>
          <w:tcPr>
            <w:tcW w:w="122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5" w:name="xdx_98E_eus-gaap--PreferredStockSharesIs"/>
            <w:bookmarkEnd w:id="385"/>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386" w:name="xdx_986_eus-gaap--PreferredStockSharesOu"/>
            <w:bookmarkEnd w:id="386"/>
          </w:p>
        </w:tc>
        <w:tc>
          <w:tcPr>
            <w:tcW w:w="12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387" w:name="xdx_98B_eus-gaap--CommonStockParOrStated"/>
            <w:bookmarkEnd w:id="387"/>
          </w:p>
        </w:tc>
        <w:tc>
          <w:tcPr>
            <w:tcW w:w="952" w:type="dxa"/>
            <w:tcBorders/>
            <w:shd w:fill="CCEEFF" w:val="clear"/>
            <w:vAlign w:val="center"/>
          </w:tcPr>
          <w:p>
            <w:pPr>
              <w:pStyle w:val="TableContents"/>
              <w:bidi w:val="0"/>
              <w:spacing w:before="0" w:after="283"/>
              <w:jc w:val="right"/>
              <w:rPr/>
            </w:pPr>
            <w:r>
              <w:rPr/>
              <w:t>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8" w:name="xdx_981_eus-gaap--CommonStockSharesAutho"/>
            <w:bookmarkEnd w:id="388"/>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9" w:name="xdx_982_eus-gaap--CommonStockSharesIssue"/>
            <w:bookmarkEnd w:id="389"/>
          </w:p>
        </w:tc>
        <w:tc>
          <w:tcPr>
            <w:tcW w:w="1100" w:type="dxa"/>
            <w:tcBorders/>
            <w:shd w:fill="CCEEFF" w:val="clear"/>
            <w:vAlign w:val="center"/>
          </w:tcPr>
          <w:p>
            <w:pPr>
              <w:pStyle w:val="TableContents"/>
              <w:bidi w:val="0"/>
              <w:spacing w:before="0" w:after="283"/>
              <w:jc w:val="right"/>
              <w:rPr/>
            </w:pPr>
            <w:r>
              <w:rPr/>
              <w:t>45,103,461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390" w:name="xdx_987_eus-gaap--CommonStockSharesOutst"/>
            <w:bookmarkEnd w:id="390"/>
          </w:p>
        </w:tc>
        <w:tc>
          <w:tcPr>
            <w:tcW w:w="1214" w:type="dxa"/>
            <w:tcBorders/>
            <w:shd w:fill="CCEEFF" w:val="clear"/>
            <w:vAlign w:val="center"/>
          </w:tcPr>
          <w:p>
            <w:pPr>
              <w:pStyle w:val="TableContents"/>
              <w:bidi w:val="0"/>
              <w:spacing w:before="0" w:after="283"/>
              <w:jc w:val="right"/>
              <w:rPr/>
            </w:pPr>
            <w:r>
              <w:rPr/>
              <w:t>45,103,461</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As of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391" w:name="xdx_98F_eus-gaap--PreferredStockParOrSta"/>
            <w:bookmarkEnd w:id="391"/>
          </w:p>
        </w:tc>
        <w:tc>
          <w:tcPr>
            <w:tcW w:w="952" w:type="dxa"/>
            <w:tcBorders/>
            <w:shd w:fill="FFFFFF" w:val="clear"/>
            <w:vAlign w:val="center"/>
          </w:tcPr>
          <w:p>
            <w:pPr>
              <w:pStyle w:val="TableContents"/>
              <w:bidi w:val="0"/>
              <w:spacing w:before="0" w:after="283"/>
              <w:jc w:val="right"/>
              <w:rPr/>
            </w:pPr>
            <w:r>
              <w:rPr/>
              <w:t>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2" w:name="xdx_98A_eus-gaap--PreferredStockSharesAu"/>
            <w:bookmarkEnd w:id="392"/>
          </w:p>
        </w:tc>
        <w:tc>
          <w:tcPr>
            <w:tcW w:w="122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3" w:name="xdx_987_eus-gaap--PreferredStockSharesIs"/>
            <w:bookmarkEnd w:id="393"/>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394" w:name="xdx_98A_eus-gaap--PreferredStockSharesOu"/>
            <w:bookmarkEnd w:id="394"/>
          </w:p>
        </w:tc>
        <w:tc>
          <w:tcPr>
            <w:tcW w:w="12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395" w:name="xdx_987_eus-gaap--CommonStockParOrStated"/>
            <w:bookmarkEnd w:id="395"/>
          </w:p>
        </w:tc>
        <w:tc>
          <w:tcPr>
            <w:tcW w:w="952" w:type="dxa"/>
            <w:tcBorders/>
            <w:shd w:fill="CCEEFF" w:val="clear"/>
            <w:vAlign w:val="center"/>
          </w:tcPr>
          <w:p>
            <w:pPr>
              <w:pStyle w:val="TableContents"/>
              <w:bidi w:val="0"/>
              <w:spacing w:before="0" w:after="283"/>
              <w:jc w:val="right"/>
              <w:rPr/>
            </w:pPr>
            <w:r>
              <w:rPr/>
              <w:t>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6" w:name="xdx_989_eus-gaap--CommonStockSharesAutho"/>
            <w:bookmarkEnd w:id="396"/>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7" w:name="xdx_985_eus-gaap--CommonStockSharesIssue"/>
            <w:bookmarkEnd w:id="397"/>
          </w:p>
        </w:tc>
        <w:tc>
          <w:tcPr>
            <w:tcW w:w="1100" w:type="dxa"/>
            <w:tcBorders/>
            <w:shd w:fill="CCEEFF" w:val="clear"/>
            <w:vAlign w:val="center"/>
          </w:tcPr>
          <w:p>
            <w:pPr>
              <w:pStyle w:val="TableContents"/>
              <w:bidi w:val="0"/>
              <w:spacing w:before="0" w:after="283"/>
              <w:jc w:val="right"/>
              <w:rPr/>
            </w:pPr>
            <w:r>
              <w:rPr/>
              <w:t>38,139,144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398" w:name="xdx_989_eus-gaap--CommonStockSharesOutst"/>
            <w:bookmarkEnd w:id="398"/>
          </w:p>
        </w:tc>
        <w:tc>
          <w:tcPr>
            <w:tcW w:w="1214" w:type="dxa"/>
            <w:tcBorders/>
            <w:shd w:fill="CCEEFF" w:val="clear"/>
            <w:vAlign w:val="center"/>
          </w:tcPr>
          <w:p>
            <w:pPr>
              <w:pStyle w:val="TableContents"/>
              <w:bidi w:val="0"/>
              <w:spacing w:before="0" w:after="283"/>
              <w:jc w:val="right"/>
              <w:rPr/>
            </w:pPr>
            <w:r>
              <w:rPr/>
              <w:t>38,139,144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99" w:name="xdx_8A0_zRaDqF2gjDX7"/>
      <w:bookmarkEnd w:id="39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Amended and Restated Certificate of Incorporation authorizes the Company to issue up to </w:t>
      </w:r>
      <w:bookmarkStart w:id="400" w:name="xdx_907_eus-gaap--CommonStockSharesAutho"/>
      <w:bookmarkEnd w:id="400"/>
      <w:r>
        <w:rPr>
          <w:rFonts w:ascii="Times New Roman;Times;Serif" w:hAnsi="Times New Roman;Times;Serif"/>
          <w:b w:val="false"/>
          <w:i w:val="false"/>
          <w:caps w:val="false"/>
          <w:smallCaps w:val="false"/>
          <w:sz w:val="20"/>
        </w:rPr>
        <w:t xml:space="preserve">200,000,000 shares of its common stock. Holders of shares of common stock have full voting rights, one vote for each share held of record. Stockholders are entitled to receive dividends as may be declared by the Company’s board of directors (the Board) out of funds legally available therefore and share pro rata in any distributions to stockholders upon liquidation. Shares of common stock do not include conversion, pre-emptive or subscription rights. All outstanding shares of common stock are fully paid and non-assessable. As of June 30, 2026, and December 31, 2025, there were </w:t>
      </w:r>
      <w:bookmarkStart w:id="401" w:name="xdx_905_eus-gaap--CommonStockSharesOutst"/>
      <w:bookmarkStart w:id="402" w:name="xdx_907_eus-gaap--CommonStockSharesIssue"/>
      <w:bookmarkEnd w:id="401"/>
      <w:bookmarkEnd w:id="402"/>
      <w:r>
        <w:rPr>
          <w:rFonts w:ascii="Times New Roman;Times;Serif" w:hAnsi="Times New Roman;Times;Serif"/>
          <w:b w:val="false"/>
          <w:i w:val="false"/>
          <w:caps w:val="false"/>
          <w:smallCaps w:val="false"/>
          <w:sz w:val="20"/>
        </w:rPr>
        <w:t xml:space="preserve">45,103,461 and </w:t>
      </w:r>
      <w:bookmarkStart w:id="403" w:name="xdx_903_eus-gaap--CommonStockSharesOutst"/>
      <w:bookmarkStart w:id="404" w:name="xdx_903_eus-gaap--CommonStockSharesIssue"/>
      <w:bookmarkEnd w:id="403"/>
      <w:bookmarkEnd w:id="404"/>
      <w:r>
        <w:rPr>
          <w:rFonts w:ascii="Times New Roman;Times;Serif" w:hAnsi="Times New Roman;Times;Serif"/>
          <w:b w:val="false"/>
          <w:i w:val="false"/>
          <w:caps w:val="false"/>
          <w:smallCaps w:val="false"/>
          <w:sz w:val="20"/>
        </w:rPr>
        <w:t>38,139,144 shares of common stock issued and outstanding,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completed an underwritten offering of </w:t>
      </w:r>
      <w:bookmarkStart w:id="405" w:name="xdx_903_eus-gaap--StockIssuedDuringPerio"/>
      <w:bookmarkEnd w:id="405"/>
      <w:r>
        <w:rPr>
          <w:rFonts w:ascii="Times New Roman;Times;Serif" w:hAnsi="Times New Roman;Times;Serif"/>
          <w:b w:val="false"/>
          <w:i w:val="false"/>
          <w:caps w:val="false"/>
          <w:smallCaps w:val="false"/>
          <w:sz w:val="20"/>
        </w:rPr>
        <w:t>6,666,667 shares of its common stock at an offering price of $</w:t>
      </w:r>
      <w:bookmarkStart w:id="406" w:name="xdx_90D_eus-gaap--SharePrice_iI_c2026013"/>
      <w:bookmarkEnd w:id="406"/>
      <w:r>
        <w:rPr>
          <w:rFonts w:ascii="Times New Roman;Times;Serif" w:hAnsi="Times New Roman;Times;Serif"/>
          <w:b w:val="false"/>
          <w:i w:val="false"/>
          <w:caps w:val="false"/>
          <w:smallCaps w:val="false"/>
          <w:sz w:val="20"/>
        </w:rPr>
        <w:t>3.00 per share. The net proceeds received from the offering were $</w:t>
      </w:r>
      <w:bookmarkStart w:id="407" w:name="xdx_902_eus-gaap--ProceedsFromIssuanceIn"/>
      <w:bookmarkEnd w:id="407"/>
      <w:r>
        <w:rPr>
          <w:rFonts w:ascii="Times New Roman;Times;Serif" w:hAnsi="Times New Roman;Times;Serif"/>
          <w:b w:val="false"/>
          <w:i w:val="false"/>
          <w:caps w:val="false"/>
          <w:smallCaps w:val="false"/>
          <w:sz w:val="20"/>
        </w:rPr>
        <w:t>18.5 million, after deducting underwriting discounts and commissions and offering expenses payable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second quarter of 2026, </w:t>
      </w:r>
      <w:bookmarkStart w:id="408" w:name="xdx_901_eus-gaap--StockIssuedDuringPerio"/>
      <w:bookmarkEnd w:id="408"/>
      <w:r>
        <w:rPr>
          <w:rFonts w:ascii="Times New Roman;Times;Serif" w:hAnsi="Times New Roman;Times;Serif"/>
          <w:b w:val="false"/>
          <w:i w:val="false"/>
          <w:caps w:val="false"/>
          <w:smallCaps w:val="false"/>
          <w:sz w:val="20"/>
        </w:rPr>
        <w:t>120,087 shares of common stock were sold to an existing stockholder under an “at-the-market” offering program pursuant to the Company’s sales agreement (ATM Agreement) with TD Securities (USA) LLC, and the Company received net proceeds of $</w:t>
      </w:r>
      <w:bookmarkStart w:id="409" w:name="xdx_903_eus-gaap--ProceedsFromCommission"/>
      <w:bookmarkEnd w:id="409"/>
      <w:r>
        <w:rPr>
          <w:rFonts w:ascii="Times New Roman;Times;Serif" w:hAnsi="Times New Roman;Times;Serif"/>
          <w:b w:val="false"/>
          <w:i w:val="false"/>
          <w:caps w:val="false"/>
          <w:smallCaps w:val="false"/>
          <w:sz w:val="20"/>
        </w:rPr>
        <w:t>0.3 million, after deducting discounts and commissions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0" w:name="xdx_802_eus-gaap--DisclosureOfCompensati"/>
      <w:bookmarkEnd w:id="410"/>
      <w:r>
        <w:rPr>
          <w:rFonts w:ascii="Times New Roman;Times;Serif" w:hAnsi="Times New Roman;Times;Serif"/>
          <w:b/>
          <w:i w:val="false"/>
          <w:caps w:val="false"/>
          <w:smallCaps w:val="false"/>
          <w:sz w:val="20"/>
        </w:rPr>
        <w:t xml:space="preserve">NOTE 10 – </w:t>
      </w:r>
      <w:bookmarkStart w:id="411" w:name="xdx_82A_zFSGHisX4xVl"/>
      <w:bookmarkEnd w:id="411"/>
      <w:r>
        <w:rPr>
          <w:rFonts w:ascii="Times New Roman;Times;Serif" w:hAnsi="Times New Roman;Times;Serif"/>
          <w:b/>
          <w:i w:val="false"/>
          <w:caps w:val="false"/>
          <w:smallCaps w:val="false"/>
          <w:sz w:val="20"/>
        </w:rPr>
        <w:t>STOCK 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2009, the Board approved the adoption of the 2009 Equity Incentive Plan (the 2009 Plan). </w:t>
      </w:r>
      <w:bookmarkStart w:id="412" w:name="xdx_90C_eus-gaap--ShareBasedCompensation"/>
      <w:bookmarkEnd w:id="412"/>
      <w:r>
        <w:rPr>
          <w:rFonts w:ascii="Times New Roman;Times;Serif" w:hAnsi="Times New Roman;Times;Serif"/>
          <w:b w:val="false"/>
          <w:i w:val="false"/>
          <w:caps w:val="false"/>
          <w:smallCaps w:val="false"/>
          <w:sz w:val="20"/>
        </w:rPr>
        <w:t>No shares are available for grant under the 2009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2018, the Board approved the adoption of the 2019 Equity Incentive Plan (the 2019 Plan). </w:t>
      </w:r>
      <w:bookmarkStart w:id="413" w:name="xdx_900_eus-gaap--ShareBasedCompensation"/>
      <w:bookmarkEnd w:id="413"/>
      <w:r>
        <w:rPr>
          <w:rFonts w:ascii="Times New Roman;Times;Serif" w:hAnsi="Times New Roman;Times;Serif"/>
          <w:b w:val="false"/>
          <w:i w:val="false"/>
          <w:caps w:val="false"/>
          <w:smallCaps w:val="false"/>
          <w:sz w:val="20"/>
        </w:rPr>
        <w:t>No shares are available for grant under the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2022, the Board approved the adoption of the 2022 Equity Incentive Plan (the 2022 Plan). The 2022 Plan provides for the grant of incentive stock options (ISOs) to employees, including employees of any parent or subsidiary, and for the grant of non-qualified stock options (NSOs), stock appreciation rights, restricted stock awards, restricted stock units (RSUs), performance awards (PSUs) and other forms of stock awards to employees, directors, and consultants, including employees and consultants of its affiliates. The 2022 Plan is a successor to the 2019 Plan. The aggregate number of shares of the Company’s common stock initially reserved for issuance under the 2022 Plan is </w:t>
      </w:r>
      <w:bookmarkStart w:id="414" w:name="xdx_90B_eus-gaap--CommonStockCapitalShar"/>
      <w:bookmarkEnd w:id="414"/>
      <w:r>
        <w:rPr>
          <w:rFonts w:ascii="Times New Roman;Times;Serif" w:hAnsi="Times New Roman;Times;Serif"/>
          <w:b w:val="false"/>
          <w:i w:val="false"/>
          <w:caps w:val="false"/>
          <w:smallCaps w:val="false"/>
          <w:sz w:val="20"/>
        </w:rPr>
        <w:t xml:space="preserve">2,800,000 shares. In addition, the number of shares of the Company’s common stock reserved for issuance under the 2022 Plan will automatically increase on January 1 of each calendar year, starting on January 1, 2024 and continuing through and including January 1, 2032, in an amount equal to </w:t>
      </w:r>
      <w:bookmarkStart w:id="415" w:name="xdx_90F_ecustom--NumberOfSharesOfCommonS"/>
      <w:bookmarkEnd w:id="415"/>
      <w:r>
        <w:rPr>
          <w:rFonts w:ascii="Times New Roman;Times;Serif" w:hAnsi="Times New Roman;Times;Serif"/>
          <w:b w:val="false"/>
          <w:i w:val="false"/>
          <w:caps w:val="false"/>
          <w:smallCaps w:val="false"/>
          <w:sz w:val="20"/>
        </w:rPr>
        <w:t xml:space="preserve">5% of the total number of shares of its common stock outstanding on the last day of the calendar month before the date of each automatic increase, or a lesser number of shares determined by the Board. In January 2026, the number of shares available to be issued under the 2022 Plan automatically increased by </w:t>
      </w:r>
      <w:bookmarkStart w:id="416" w:name="xdx_909_eus-gaap--ShareBasedCompensation"/>
      <w:bookmarkEnd w:id="416"/>
      <w:r>
        <w:rPr>
          <w:rFonts w:ascii="Times New Roman;Times;Serif" w:hAnsi="Times New Roman;Times;Serif"/>
          <w:b w:val="false"/>
          <w:i w:val="false"/>
          <w:caps w:val="false"/>
          <w:smallCaps w:val="false"/>
          <w:sz w:val="20"/>
        </w:rPr>
        <w:t xml:space="preserve">1,906,957 shares, as determined by the 2022 Plan. As of June 30, 2026, the total number of shares reserved for issuance was </w:t>
      </w:r>
      <w:bookmarkStart w:id="417" w:name="xdx_90E_eus-gaap--ShareBasedCompensation"/>
      <w:bookmarkEnd w:id="417"/>
      <w:r>
        <w:rPr>
          <w:rFonts w:ascii="Times New Roman;Times;Serif" w:hAnsi="Times New Roman;Times;Serif"/>
          <w:b w:val="false"/>
          <w:i w:val="false"/>
          <w:caps w:val="false"/>
          <w:smallCaps w:val="false"/>
          <w:sz w:val="20"/>
        </w:rPr>
        <w:t xml:space="preserve">10,089 which has taken into account </w:t>
      </w:r>
      <w:bookmarkStart w:id="418" w:name="xdx_90B_eus-gaap--StockIssuedDuringPerio"/>
      <w:bookmarkEnd w:id="418"/>
      <w:r>
        <w:rPr>
          <w:rFonts w:ascii="Times New Roman;Times;Serif" w:hAnsi="Times New Roman;Times;Serif"/>
          <w:b w:val="false"/>
          <w:i w:val="false"/>
          <w:caps w:val="false"/>
          <w:smallCaps w:val="false"/>
          <w:sz w:val="20"/>
        </w:rPr>
        <w:t>938,069 shares subject to service and performance conditions under PSUs disclosed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2023, the Board approved the adoption of the Company’s 2023 Inducement Plan (the Inducement Plan) to reserve </w:t>
      </w:r>
      <w:bookmarkStart w:id="419" w:name="xdx_904_eus-gaap--CommonStockCapitalShar"/>
      <w:bookmarkEnd w:id="419"/>
      <w:r>
        <w:rPr>
          <w:rFonts w:ascii="Times New Roman;Times;Serif" w:hAnsi="Times New Roman;Times;Serif"/>
          <w:b w:val="false"/>
          <w:i w:val="false"/>
          <w:caps w:val="false"/>
          <w:smallCaps w:val="false"/>
          <w:sz w:val="20"/>
        </w:rPr>
        <w:t xml:space="preserve">1,000,000 shares of the Company’s common stock to be used exclusively for grants of awards to individuals that were not previously employees or directors of the Company as an inducement material to the individual’s entry into employment with the Company. The Inducement Plan provides for the grant of NSOs, stock appreciation rights, restricted stock awards, RSUs, performance-based cash and stock awards, and other stock-based awards. The terms and conditions of the Inducement Plan are substantially similar to the Company’s stockholder-approved 2022 Plan. In June 2025, the Board approved an increase to the number of shares of the Company’s common stock available for issuance under the Inducement Plan by </w:t>
      </w:r>
      <w:bookmarkStart w:id="420" w:name="xdx_90D_eus-gaap--StockIssuedDuringPerio"/>
      <w:bookmarkEnd w:id="420"/>
      <w:r>
        <w:rPr>
          <w:rFonts w:ascii="Times New Roman;Times;Serif" w:hAnsi="Times New Roman;Times;Serif"/>
          <w:b w:val="false"/>
          <w:i w:val="false"/>
          <w:caps w:val="false"/>
          <w:smallCaps w:val="false"/>
          <w:sz w:val="20"/>
        </w:rPr>
        <w:t xml:space="preserve">1,000,000 shares. As of June 30, 2026, the total number of shares reserved for issuance under the Inducement Plan was </w:t>
      </w:r>
      <w:bookmarkStart w:id="421" w:name="xdx_908_eus-gaap--ShareBasedCompensation"/>
      <w:bookmarkEnd w:id="421"/>
      <w:r>
        <w:rPr>
          <w:rFonts w:ascii="Times New Roman;Times;Serif" w:hAnsi="Times New Roman;Times;Serif"/>
          <w:b w:val="false"/>
          <w:i w:val="false"/>
          <w:caps w:val="false"/>
          <w:smallCaps w:val="false"/>
          <w:sz w:val="20"/>
        </w:rPr>
        <w:t>847,101.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2" w:name="xdx_896_eus-gaap--ScheduleOfShareBasedCo"/>
      <w:bookmarkEnd w:id="422"/>
      <w:r>
        <w:rPr>
          <w:rFonts w:ascii="Times New Roman;Times;Serif" w:hAnsi="Times New Roman;Times;Serif"/>
          <w:b w:val="false"/>
          <w:i w:val="false"/>
          <w:caps w:val="false"/>
          <w:smallCaps w:val="false"/>
          <w:sz w:val="20"/>
        </w:rPr>
        <w:t>The following table presents a summary of awards outstanding: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bookmarkStart w:id="423" w:name="xdx_8BB_zcRXWPccn4j5"/>
      <w:bookmarkEnd w:id="423"/>
      <w:r>
        <w:rPr>
          <w:rFonts w:ascii="Times New Roman;Times;Serif" w:hAnsi="Times New Roman;Times;Serif"/>
          <w:b w:val="false"/>
          <w:i w:val="false"/>
          <w:caps w:val="false"/>
          <w:smallCaps w:val="false"/>
          <w:sz w:val="20"/>
        </w:rPr>
        <w:t>SCHEDULE OF AWARDS OUTSTANDING </w:t>
      </w:r>
    </w:p>
    <w:tbl>
      <w:tblPr>
        <w:tblW w:w="8744" w:type="dxa"/>
        <w:jc w:val="left"/>
        <w:tblInd w:w="0" w:type="dxa"/>
        <w:tblLayout w:type="fixed"/>
        <w:tblCellMar>
          <w:top w:w="0" w:type="dxa"/>
          <w:left w:w="0" w:type="dxa"/>
          <w:bottom w:w="0" w:type="dxa"/>
          <w:right w:w="0" w:type="dxa"/>
        </w:tblCellMar>
      </w:tblPr>
      <w:tblGrid>
        <w:gridCol w:w="2090"/>
        <w:gridCol w:w="60"/>
        <w:gridCol w:w="60"/>
        <w:gridCol w:w="980"/>
        <w:gridCol w:w="60"/>
        <w:gridCol w:w="60"/>
        <w:gridCol w:w="60"/>
        <w:gridCol w:w="980"/>
        <w:gridCol w:w="60"/>
        <w:gridCol w:w="60"/>
        <w:gridCol w:w="60"/>
        <w:gridCol w:w="980"/>
        <w:gridCol w:w="60"/>
        <w:gridCol w:w="60"/>
        <w:gridCol w:w="101"/>
        <w:gridCol w:w="1658"/>
        <w:gridCol w:w="60"/>
        <w:gridCol w:w="60"/>
        <w:gridCol w:w="60"/>
        <w:gridCol w:w="1100"/>
        <w:gridCol w:w="75"/>
      </w:tblGrid>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24" w:name="xdx_492_20260630__us-gaap--PlanNameAxis_"/>
            <w:bookmarkEnd w:id="424"/>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2009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C_20260630__us-gaap--PlanNameAxis_"/>
            <w:bookmarkEnd w:id="425"/>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2019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B_20260630__us-gaap--PlanNameAxis_"/>
            <w:bookmarkEnd w:id="42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9C_20260630__us-gaap--PlanNameAxis_"/>
            <w:bookmarkEnd w:id="427"/>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Inducement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9F_20260630_zaVWljjhzNr8"/>
            <w:bookmarkEnd w:id="428"/>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2009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2019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Inducement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429" w:name="xdx_40B_ecustom--ShareBasedCompensationA"/>
            <w:bookmarkEnd w:id="429"/>
          </w:p>
        </w:tc>
      </w:tr>
      <w:tr>
        <w:trPr/>
        <w:tc>
          <w:tcPr>
            <w:tcW w:w="20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1,497,118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1,595,058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2,742,687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1,152,899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6,987,762</w:t>
            </w:r>
          </w:p>
        </w:tc>
        <w:tc>
          <w:tcPr>
            <w:tcW w:w="75" w:type="dxa"/>
            <w:tcBorders/>
            <w:shd w:fill="CCEEFF" w:val="clear"/>
            <w:vAlign w:val="center"/>
          </w:tcPr>
          <w:p>
            <w:pPr>
              <w:pStyle w:val="TableContents"/>
              <w:bidi w:val="0"/>
              <w:spacing w:before="0" w:after="283"/>
              <w:jc w:val="left"/>
              <w:rPr/>
            </w:pPr>
            <w:r>
              <w:rPr/>
              <w:t> </w:t>
            </w:r>
            <w:bookmarkStart w:id="430" w:name="xdx_40F_ecustom--ShareBasedCompensationA"/>
            <w:bookmarkEnd w:id="430"/>
          </w:p>
        </w:tc>
      </w:tr>
      <w:tr>
        <w:trPr/>
        <w:tc>
          <w:tcPr>
            <w:tcW w:w="2090" w:type="dxa"/>
            <w:tcBorders/>
            <w:shd w:fill="FFFFFF" w:val="clear"/>
            <w:vAlign w:val="center"/>
          </w:tcPr>
          <w:p>
            <w:pPr>
              <w:pStyle w:val="TableContents"/>
              <w:bidi w:val="0"/>
              <w:spacing w:before="0" w:after="283"/>
              <w:jc w:val="left"/>
              <w:rPr/>
            </w:pPr>
            <w:r>
              <w:rPr/>
              <w:t>RSUs/PSUs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4,128,216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4,128,216</w:t>
            </w:r>
          </w:p>
        </w:tc>
        <w:tc>
          <w:tcPr>
            <w:tcW w:w="75" w:type="dxa"/>
            <w:tcBorders/>
            <w:shd w:fill="FFFFFF" w:val="clear"/>
            <w:vAlign w:val="center"/>
          </w:tcPr>
          <w:p>
            <w:pPr>
              <w:pStyle w:val="TableContents"/>
              <w:bidi w:val="0"/>
              <w:spacing w:before="0" w:after="283"/>
              <w:jc w:val="left"/>
              <w:rPr/>
            </w:pPr>
            <w:r>
              <w:rPr/>
              <w:t> </w:t>
            </w:r>
            <w:bookmarkStart w:id="431" w:name="xdx_40F_ecustom--ShareBasedCompensationA"/>
            <w:bookmarkEnd w:id="431"/>
          </w:p>
        </w:tc>
      </w:tr>
      <w:tr>
        <w:trPr/>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awards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1,497,118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1,595,058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6,870,903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bottom w:w="28" w:type="dxa"/>
            </w:tcMar>
            <w:vAlign w:val="center"/>
          </w:tcPr>
          <w:p>
            <w:pPr>
              <w:pStyle w:val="TableContents"/>
              <w:bidi w:val="0"/>
              <w:spacing w:before="0" w:after="283"/>
              <w:jc w:val="right"/>
              <w:rPr/>
            </w:pPr>
            <w:r>
              <w:rPr/>
              <w:t>1,152,899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11,115,978</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432" w:name="xdx_8A5_z23aLZN4tGl7"/>
      <w:bookmarkEnd w:id="432"/>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33" w:name="xdx_890_eus-gaap--ScheduleOfCompensation"/>
      <w:bookmarkEnd w:id="433"/>
      <w:r>
        <w:rPr>
          <w:rFonts w:ascii="Times New Roman;Times;Serif" w:hAnsi="Times New Roman;Times;Serif"/>
          <w:b w:val="false"/>
          <w:i w:val="false"/>
          <w:caps w:val="false"/>
          <w:smallCaps w:val="false"/>
          <w:sz w:val="20"/>
        </w:rPr>
        <w:t>The following table summarizes stock-based compensation expenses included in operating expenses:</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34" w:name="xdx_8B7_zYXg7AiQXhtd"/>
      <w:bookmarkEnd w:id="434"/>
      <w:r>
        <w:rPr>
          <w:rFonts w:ascii="Times New Roman;Times;Serif" w:hAnsi="Times New Roman;Times;Serif"/>
          <w:b w:val="false"/>
          <w:i w:val="false"/>
          <w:caps w:val="false"/>
          <w:smallCaps w:val="false"/>
          <w:sz w:val="20"/>
        </w:rPr>
        <w:t>SCHEDULE OF STOCK-BASED COMPENSATION EXPENSES </w:t>
      </w:r>
    </w:p>
    <w:tbl>
      <w:tblPr>
        <w:tblW w:w="9639" w:type="dxa"/>
        <w:jc w:val="left"/>
        <w:tblInd w:w="0" w:type="dxa"/>
        <w:tblLayout w:type="fixed"/>
        <w:tblCellMar>
          <w:top w:w="0" w:type="dxa"/>
          <w:left w:w="0" w:type="dxa"/>
          <w:bottom w:w="0" w:type="dxa"/>
          <w:right w:w="0" w:type="dxa"/>
        </w:tblCellMar>
      </w:tblPr>
      <w:tblGrid>
        <w:gridCol w:w="3440"/>
        <w:gridCol w:w="60"/>
        <w:gridCol w:w="287"/>
        <w:gridCol w:w="1151"/>
        <w:gridCol w:w="123"/>
        <w:gridCol w:w="123"/>
        <w:gridCol w:w="287"/>
        <w:gridCol w:w="1151"/>
        <w:gridCol w:w="60"/>
        <w:gridCol w:w="60"/>
        <w:gridCol w:w="260"/>
        <w:gridCol w:w="1040"/>
        <w:gridCol w:w="111"/>
        <w:gridCol w:w="111"/>
        <w:gridCol w:w="260"/>
        <w:gridCol w:w="1040"/>
        <w:gridCol w:w="75"/>
      </w:tblGrid>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35" w:name="xdx_490_20260401__20260630_zEKWCWXZVFp4"/>
            <w:bookmarkEnd w:id="435"/>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bookmarkStart w:id="436" w:name="xdx_499_20250401__20250630_zUPAbxivQyV5"/>
            <w:bookmarkEnd w:id="436"/>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5_20260101__20260630_zAeYFzXxEjQk"/>
            <w:bookmarkEnd w:id="437"/>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438" w:name="xdx_493_20250101__20250630_z5obC02RhWql"/>
            <w:bookmarkEnd w:id="438"/>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64" w:type="dxa"/>
            <w:gridSpan w:val="14"/>
            <w:tcBorders/>
            <w:vAlign w:val="center"/>
          </w:tcPr>
          <w:p>
            <w:pPr>
              <w:pStyle w:val="TableContents"/>
              <w:bidi w:val="0"/>
              <w:spacing w:before="0" w:after="283"/>
              <w:jc w:val="center"/>
              <w:rPr>
                <w:b/>
              </w:rPr>
            </w:pPr>
            <w:r>
              <w:rPr>
                <w:b/>
              </w:rPr>
              <w:t xml:space="preserve">(in thousands) </w:t>
            </w:r>
          </w:p>
        </w:tc>
        <w:tc>
          <w:tcPr>
            <w:tcW w:w="75" w:type="dxa"/>
            <w:tcBorders/>
            <w:vAlign w:val="center"/>
          </w:tcPr>
          <w:p>
            <w:pPr>
              <w:pStyle w:val="TableContents"/>
              <w:bidi w:val="0"/>
              <w:spacing w:before="0" w:after="283"/>
              <w:jc w:val="left"/>
              <w:rPr/>
            </w:pPr>
            <w:r>
              <w:rPr/>
              <w:t> </w:t>
            </w:r>
            <w:bookmarkStart w:id="439" w:name="xdx_404_eus-gaap--AllocatedShareBasedCom"/>
            <w:bookmarkEnd w:id="439"/>
          </w:p>
        </w:tc>
      </w:tr>
      <w:tr>
        <w:trPr/>
        <w:tc>
          <w:tcPr>
            <w:tcW w:w="344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1,398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2,365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1,907</w:t>
            </w:r>
          </w:p>
        </w:tc>
        <w:tc>
          <w:tcPr>
            <w:tcW w:w="75" w:type="dxa"/>
            <w:tcBorders/>
            <w:shd w:fill="CCEEFF" w:val="clear"/>
            <w:vAlign w:val="center"/>
          </w:tcPr>
          <w:p>
            <w:pPr>
              <w:pStyle w:val="TableContents"/>
              <w:bidi w:val="0"/>
              <w:spacing w:before="0" w:after="283"/>
              <w:jc w:val="left"/>
              <w:rPr/>
            </w:pPr>
            <w:r>
              <w:rPr/>
              <w:t> </w:t>
            </w:r>
            <w:bookmarkStart w:id="440" w:name="xdx_405_eus-gaap--AllocatedShareBasedCom"/>
            <w:bookmarkEnd w:id="440"/>
          </w:p>
        </w:tc>
      </w:tr>
      <w:tr>
        <w:trPr/>
        <w:tc>
          <w:tcPr>
            <w:tcW w:w="344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875</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1,690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1,107</w:t>
            </w:r>
          </w:p>
        </w:tc>
        <w:tc>
          <w:tcPr>
            <w:tcW w:w="75" w:type="dxa"/>
            <w:tcBorders/>
            <w:shd w:fill="FFFFFF" w:val="clear"/>
            <w:vAlign w:val="center"/>
          </w:tcPr>
          <w:p>
            <w:pPr>
              <w:pStyle w:val="TableContents"/>
              <w:bidi w:val="0"/>
              <w:spacing w:before="0" w:after="283"/>
              <w:jc w:val="left"/>
              <w:rPr/>
            </w:pPr>
            <w:r>
              <w:rPr/>
              <w:t> </w:t>
            </w:r>
            <w:bookmarkStart w:id="441" w:name="xdx_401_eus-gaap--AllocatedShareBasedCom"/>
            <w:bookmarkEnd w:id="441"/>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stock-based compensation expenses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2,273</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1,482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4,055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3,014</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189" w:type="dxa"/>
        <w:jc w:val="left"/>
        <w:tblInd w:w="0" w:type="dxa"/>
        <w:tblLayout w:type="fixed"/>
        <w:tblCellMar>
          <w:top w:w="0" w:type="dxa"/>
          <w:left w:w="0" w:type="dxa"/>
          <w:bottom w:w="0" w:type="dxa"/>
          <w:right w:w="0" w:type="dxa"/>
        </w:tblCellMar>
      </w:tblPr>
      <w:tblGrid>
        <w:gridCol w:w="2990"/>
        <w:gridCol w:w="60"/>
        <w:gridCol w:w="287"/>
        <w:gridCol w:w="1151"/>
        <w:gridCol w:w="123"/>
        <w:gridCol w:w="123"/>
        <w:gridCol w:w="287"/>
        <w:gridCol w:w="1151"/>
        <w:gridCol w:w="60"/>
        <w:gridCol w:w="60"/>
        <w:gridCol w:w="260"/>
        <w:gridCol w:w="1040"/>
        <w:gridCol w:w="111"/>
        <w:gridCol w:w="111"/>
        <w:gridCol w:w="260"/>
        <w:gridCol w:w="1040"/>
        <w:gridCol w:w="75"/>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42" w:name="xdx_490_20260401__20260630_zQb6B6Ri5Nfk"/>
            <w:bookmarkEnd w:id="442"/>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bookmarkStart w:id="443" w:name="xdx_499_20250401__20250630_zzvdKWQQ1aUi"/>
            <w:bookmarkEnd w:id="443"/>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4" w:name="xdx_495_20260101__20260630_zfho33XTj6V6"/>
            <w:bookmarkEnd w:id="444"/>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445" w:name="xdx_493_20250101__20250630_zipQHSzOU5qe"/>
            <w:bookmarkEnd w:id="445"/>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64" w:type="dxa"/>
            <w:gridSpan w:val="14"/>
            <w:tcBorders/>
            <w:vAlign w:val="center"/>
          </w:tcPr>
          <w:p>
            <w:pPr>
              <w:pStyle w:val="TableContents"/>
              <w:bidi w:val="0"/>
              <w:spacing w:before="0" w:after="283"/>
              <w:jc w:val="center"/>
              <w:rPr>
                <w:b/>
              </w:rPr>
            </w:pPr>
            <w:r>
              <w:rPr>
                <w:b/>
              </w:rPr>
              <w:t xml:space="preserve">(in thousands) </w:t>
            </w:r>
          </w:p>
        </w:tc>
        <w:tc>
          <w:tcPr>
            <w:tcW w:w="75" w:type="dxa"/>
            <w:tcBorders/>
            <w:vAlign w:val="center"/>
          </w:tcPr>
          <w:p>
            <w:pPr>
              <w:pStyle w:val="TableContents"/>
              <w:bidi w:val="0"/>
              <w:spacing w:before="0" w:after="283"/>
              <w:jc w:val="left"/>
              <w:rPr/>
            </w:pPr>
            <w:r>
              <w:rPr/>
              <w:t> </w:t>
            </w:r>
            <w:bookmarkStart w:id="446" w:name="xdx_406_eus-gaap--AllocatedShareBasedCom"/>
            <w:bookmarkEnd w:id="446"/>
          </w:p>
        </w:tc>
      </w:tr>
      <w:tr>
        <w:trPr/>
        <w:tc>
          <w:tcPr>
            <w:tcW w:w="29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1,482</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2,946</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2,674</w:t>
            </w:r>
          </w:p>
        </w:tc>
        <w:tc>
          <w:tcPr>
            <w:tcW w:w="75" w:type="dxa"/>
            <w:tcBorders/>
            <w:shd w:fill="CCEEFF" w:val="clear"/>
            <w:vAlign w:val="center"/>
          </w:tcPr>
          <w:p>
            <w:pPr>
              <w:pStyle w:val="TableContents"/>
              <w:bidi w:val="0"/>
              <w:spacing w:before="0" w:after="283"/>
              <w:jc w:val="left"/>
              <w:rPr/>
            </w:pPr>
            <w:r>
              <w:rPr/>
              <w:t> </w:t>
            </w:r>
            <w:bookmarkStart w:id="447" w:name="xdx_402_eus-gaap--AllocatedShareBasedCom"/>
            <w:bookmarkEnd w:id="447"/>
          </w:p>
        </w:tc>
      </w:tr>
      <w:tr>
        <w:trPr/>
        <w:tc>
          <w:tcPr>
            <w:tcW w:w="2990" w:type="dxa"/>
            <w:tcBorders/>
            <w:shd w:fill="FFFFFF" w:val="clear"/>
            <w:vAlign w:val="center"/>
          </w:tcPr>
          <w:p>
            <w:pPr>
              <w:pStyle w:val="TableContents"/>
              <w:bidi w:val="0"/>
              <w:spacing w:before="0" w:after="283"/>
              <w:jc w:val="left"/>
              <w:rPr/>
            </w:pPr>
            <w:r>
              <w:rPr/>
              <w:t>RSUs/PSUs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783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1,101</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bookmarkStart w:id="448" w:name="xdx_402_eus-gaap--AllocatedShareBasedCom"/>
            <w:bookmarkEnd w:id="448"/>
          </w:p>
        </w:tc>
      </w:tr>
      <w:tr>
        <w:trPr/>
        <w:tc>
          <w:tcPr>
            <w:tcW w:w="2990" w:type="dxa"/>
            <w:tcBorders/>
            <w:shd w:fill="CCEEFF" w:val="clear"/>
            <w:vAlign w:val="center"/>
          </w:tcPr>
          <w:p>
            <w:pPr>
              <w:pStyle w:val="TableContents"/>
              <w:bidi w:val="0"/>
              <w:spacing w:before="0" w:after="283"/>
              <w:jc w:val="left"/>
              <w:rPr/>
            </w:pPr>
            <w:r>
              <w:rPr/>
              <w:t>ESPP</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bookmarkStart w:id="449" w:name="xdx_403_eus-gaap--AllocatedShareBasedCom"/>
            <w:bookmarkEnd w:id="449"/>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FFFFFF" w:val="clear"/>
            <w:tcMar>
              <w:bottom w:w="28" w:type="dxa"/>
            </w:tcMar>
            <w:vAlign w:val="center"/>
          </w:tcPr>
          <w:p>
            <w:pPr>
              <w:pStyle w:val="TableContents"/>
              <w:bidi w:val="0"/>
              <w:spacing w:before="0" w:after="283"/>
              <w:jc w:val="right"/>
              <w:rPr/>
            </w:pPr>
            <w:r>
              <w:rPr/>
              <w:t>2,273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FFFFFF" w:val="clear"/>
            <w:tcMar>
              <w:bottom w:w="28" w:type="dxa"/>
            </w:tcMar>
            <w:vAlign w:val="center"/>
          </w:tcPr>
          <w:p>
            <w:pPr>
              <w:pStyle w:val="TableContents"/>
              <w:bidi w:val="0"/>
              <w:spacing w:before="0" w:after="283"/>
              <w:jc w:val="right"/>
              <w:rPr/>
            </w:pPr>
            <w:r>
              <w:rPr/>
              <w:t>1,482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pPr>
            <w:r>
              <w:rPr/>
              <w:t>4,055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pPr>
            <w:r>
              <w:rPr/>
              <w:t>3,014</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450" w:name="xdx_8A7_zqGoe3bdvYXj"/>
      <w:bookmarkEnd w:id="450"/>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and Performance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RSU granted entitles the holder to receive one share of Company common stock upon the occurrence of certain performance and service conditions. The grant date fair value for RSUs is determined based on the market price of the Company’s common stock on the grant date and expense is recognized on a straight-line basis over the requisite service period for the entire award. RSUs granted typically vest over a period not exceeding four-years. During the six months ended June 30, 2026, the Company granted </w:t>
      </w:r>
      <w:bookmarkStart w:id="451" w:name="xdx_907_eus-gaap--ShareBasedCompensation"/>
      <w:bookmarkEnd w:id="451"/>
      <w:r>
        <w:rPr>
          <w:rFonts w:ascii="Times New Roman;Times;Serif" w:hAnsi="Times New Roman;Times;Serif"/>
          <w:b w:val="false"/>
          <w:i w:val="false"/>
          <w:caps w:val="false"/>
          <w:smallCaps w:val="false"/>
          <w:sz w:val="20"/>
        </w:rPr>
        <w:t>2,136,112 RSUs. During the three and six months ended June 30, 2026, the Company recorded amortization expense of $</w:t>
      </w:r>
      <w:bookmarkStart w:id="452" w:name="xdx_902_eus-gaap--AdjustmentForAmortizat"/>
      <w:bookmarkEnd w:id="452"/>
      <w:r>
        <w:rPr>
          <w:rFonts w:ascii="Times New Roman;Times;Serif" w:hAnsi="Times New Roman;Times;Serif"/>
          <w:b w:val="false"/>
          <w:i w:val="false"/>
          <w:caps w:val="false"/>
          <w:smallCaps w:val="false"/>
          <w:sz w:val="20"/>
        </w:rPr>
        <w:t>0.6 and $</w:t>
      </w:r>
      <w:bookmarkStart w:id="453" w:name="xdx_90F_eus-gaap--AdjustmentForAmortizat"/>
      <w:bookmarkEnd w:id="453"/>
      <w:r>
        <w:rPr>
          <w:rFonts w:ascii="Times New Roman;Times;Serif" w:hAnsi="Times New Roman;Times;Serif"/>
          <w:b w:val="false"/>
          <w:i w:val="false"/>
          <w:caps w:val="false"/>
          <w:smallCaps w:val="false"/>
          <w:sz w:val="20"/>
        </w:rPr>
        <w:t>1.0 million related to the fair value of RSUs.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the Board approved the award of PSUs under the 2022 Plan as part of the Company’s equity incentive program for employees. Each PSU entitles the holder to receive one share of Company common stock upon the satisfaction of non-market performance and service conditions. The grant date fair value for the PSUs is determined based on the market price of the Company’s common stock on the grant date and expense is recognized over the requisite service period if and when the achievement of such performance condition is determined to be probable by the Company. The Company reassesses the probability of achieving the performance condition at each reporting period, and cumulative expense is adjusted (including reversal of previously recognized expense) if achievement is no longer considered probable. The Company granted to employees </w:t>
      </w:r>
      <w:bookmarkStart w:id="454" w:name="xdx_908_eus-gaap--ShareBasedCompensation"/>
      <w:bookmarkEnd w:id="454"/>
      <w:r>
        <w:rPr>
          <w:rFonts w:ascii="Times New Roman;Times;Serif" w:hAnsi="Times New Roman;Times;Serif"/>
          <w:b w:val="false"/>
          <w:i w:val="false"/>
          <w:caps w:val="false"/>
          <w:smallCaps w:val="false"/>
          <w:sz w:val="20"/>
        </w:rPr>
        <w:t>938,069 PSUs. As of June 30, 2026, the Company determined that achievement of the performance condition is probable and expects to recognize total expense of $</w:t>
      </w:r>
      <w:bookmarkStart w:id="455" w:name="xdx_900_eus-gaap--ShareBasedCompensation"/>
      <w:bookmarkEnd w:id="455"/>
      <w:r>
        <w:rPr>
          <w:rFonts w:ascii="Times New Roman;Times;Serif" w:hAnsi="Times New Roman;Times;Serif"/>
          <w:b w:val="false"/>
          <w:i w:val="false"/>
          <w:caps w:val="false"/>
          <w:smallCaps w:val="false"/>
          <w:sz w:val="20"/>
        </w:rPr>
        <w:t xml:space="preserve">2.8 million over the requisite service period through June 2027. During the three and six months ended June 30, 2026, the Company recorded amortization expense of </w:t>
      </w:r>
      <w:bookmarkStart w:id="456" w:name="xdx_904_eus-gaap--AdjustmentForAmortizat"/>
      <w:bookmarkEnd w:id="456"/>
      <w:r>
        <w:rPr>
          <w:rFonts w:ascii="Times New Roman;Times;Serif" w:hAnsi="Times New Roman;Times;Serif"/>
          <w:b w:val="false"/>
          <w:i w:val="false"/>
          <w:caps w:val="false"/>
          <w:smallCaps w:val="false"/>
          <w:sz w:val="20"/>
        </w:rPr>
        <w:t>nil and $</w:t>
      </w:r>
      <w:bookmarkStart w:id="457" w:name="xdx_90B_eus-gaap--AdjustmentForAmortizat"/>
      <w:bookmarkEnd w:id="457"/>
      <w:r>
        <w:rPr>
          <w:rFonts w:ascii="Times New Roman;Times;Serif" w:hAnsi="Times New Roman;Times;Serif"/>
          <w:b w:val="false"/>
          <w:i w:val="false"/>
          <w:caps w:val="false"/>
          <w:smallCaps w:val="false"/>
          <w:sz w:val="20"/>
        </w:rPr>
        <w:t xml:space="preserve">0.1 million related to the fair value of PSUs.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58" w:name="xdx_89B_eus-gaap--ScheduleOfNonvestedRes"/>
      <w:bookmarkEnd w:id="458"/>
      <w:r>
        <w:rPr>
          <w:rFonts w:ascii="Times New Roman;Times;Serif" w:hAnsi="Times New Roman;Times;Serif"/>
          <w:b w:val="false"/>
          <w:i w:val="false"/>
          <w:caps w:val="false"/>
          <w:smallCaps w:val="false"/>
          <w:sz w:val="20"/>
        </w:rPr>
        <w:t>The following table summarizes the activity of the Company’s RSUs and PSUs: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9" w:name="xdx_8B0_zgB1ssUeIKtj"/>
      <w:bookmarkEnd w:id="459"/>
      <w:r>
        <w:rPr>
          <w:rFonts w:ascii="Times New Roman;Times;Serif" w:hAnsi="Times New Roman;Times;Serif"/>
          <w:b w:val="false"/>
          <w:i w:val="false"/>
          <w:caps w:val="false"/>
          <w:smallCaps w:val="false"/>
          <w:sz w:val="20"/>
        </w:rPr>
        <w:t>SCHEDULE OF RESTRICTED STOCK UNITS ACTIVITY </w:t>
      </w:r>
    </w:p>
    <w:tbl>
      <w:tblPr>
        <w:tblW w:w="6118" w:type="dxa"/>
        <w:jc w:val="left"/>
        <w:tblInd w:w="0" w:type="dxa"/>
        <w:tblLayout w:type="fixed"/>
        <w:tblCellMar>
          <w:top w:w="0" w:type="dxa"/>
          <w:left w:w="0" w:type="dxa"/>
          <w:bottom w:w="0" w:type="dxa"/>
          <w:right w:w="0" w:type="dxa"/>
        </w:tblCellMar>
      </w:tblPr>
      <w:tblGrid>
        <w:gridCol w:w="3185"/>
        <w:gridCol w:w="60"/>
        <w:gridCol w:w="75"/>
        <w:gridCol w:w="1234"/>
        <w:gridCol w:w="60"/>
        <w:gridCol w:w="60"/>
        <w:gridCol w:w="330"/>
        <w:gridCol w:w="1039"/>
        <w:gridCol w:w="75"/>
      </w:tblGrid>
      <w:tr>
        <w:trPr/>
        <w:tc>
          <w:tcPr>
            <w:tcW w:w="3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 and PSUs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Fair Value</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460" w:name="xdx_98B_eus-gaap--ShareBasedCompensation"/>
            <w:bookmarkEnd w:id="460"/>
          </w:p>
        </w:tc>
        <w:tc>
          <w:tcPr>
            <w:tcW w:w="1234" w:type="dxa"/>
            <w:tcBorders/>
            <w:shd w:fill="CCEEFF" w:val="clear"/>
            <w:vAlign w:val="center"/>
          </w:tcPr>
          <w:p>
            <w:pPr>
              <w:pStyle w:val="TableContents"/>
              <w:bidi w:val="0"/>
              <w:spacing w:before="0" w:after="283"/>
              <w:jc w:val="right"/>
              <w:rPr/>
            </w:pPr>
            <w:r>
              <w:rPr/>
              <w:t>1,221,432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bookmarkStart w:id="461" w:name="xdx_981_eus-gaap--ShareBasedCompensation"/>
            <w:bookmarkEnd w:id="461"/>
          </w:p>
        </w:tc>
        <w:tc>
          <w:tcPr>
            <w:tcW w:w="1039"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462" w:name="xdx_98E_eus-gaap--ShareBasedCompensation"/>
            <w:bookmarkEnd w:id="462"/>
          </w:p>
        </w:tc>
        <w:tc>
          <w:tcPr>
            <w:tcW w:w="1234" w:type="dxa"/>
            <w:tcBorders/>
            <w:shd w:fill="FFFFFF" w:val="clear"/>
            <w:vAlign w:val="center"/>
          </w:tcPr>
          <w:p>
            <w:pPr>
              <w:pStyle w:val="TableContents"/>
              <w:bidi w:val="0"/>
              <w:spacing w:before="0" w:after="283"/>
              <w:jc w:val="right"/>
              <w:rPr/>
            </w:pPr>
            <w:r>
              <w:rPr/>
              <w:t>3,074,181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bookmarkStart w:id="463" w:name="xdx_98E_eus-gaap--ShareBasedCompensation"/>
            <w:bookmarkEnd w:id="463"/>
          </w:p>
        </w:tc>
        <w:tc>
          <w:tcPr>
            <w:tcW w:w="1039" w:type="dxa"/>
            <w:tcBorders/>
            <w:shd w:fill="FFFFFF" w:val="clear"/>
            <w:vAlign w:val="center"/>
          </w:tcPr>
          <w:p>
            <w:pPr>
              <w:pStyle w:val="TableContents"/>
              <w:bidi w:val="0"/>
              <w:spacing w:before="0" w:after="283"/>
              <w:jc w:val="right"/>
              <w:rPr/>
            </w:pPr>
            <w:r>
              <w:rPr/>
              <w:t>3.00</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464" w:name="xdx_984_eus-gaap--ShareBasedCompensation"/>
            <w:bookmarkEnd w:id="464"/>
          </w:p>
        </w:tc>
        <w:tc>
          <w:tcPr>
            <w:tcW w:w="1234" w:type="dxa"/>
            <w:tcBorders/>
            <w:shd w:fill="CCEEFF" w:val="clear"/>
            <w:vAlign w:val="center"/>
          </w:tcPr>
          <w:p>
            <w:pPr>
              <w:pStyle w:val="TableContents"/>
              <w:bidi w:val="0"/>
              <w:spacing w:before="0" w:after="283"/>
              <w:jc w:val="right"/>
              <w:rPr/>
            </w:pPr>
            <w:r>
              <w:rPr/>
              <w:t>(153,028)</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bookmarkStart w:id="465" w:name="xdx_981_eus-gaap--ShareBasedCompensation"/>
            <w:bookmarkEnd w:id="465"/>
          </w:p>
        </w:tc>
        <w:tc>
          <w:tcPr>
            <w:tcW w:w="1039" w:type="dxa"/>
            <w:tcBorders/>
            <w:shd w:fill="CCEEFF" w:val="clear"/>
            <w:vAlign w:val="center"/>
          </w:tcPr>
          <w:p>
            <w:pPr>
              <w:pStyle w:val="TableContents"/>
              <w:bidi w:val="0"/>
              <w:spacing w:before="0" w:after="283"/>
              <w:jc w:val="right"/>
              <w:rPr/>
            </w:pPr>
            <w:r>
              <w:rPr/>
              <w:t>4.53</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6" w:name="xdx_98E_eus-gaap--ShareBasedCompensation"/>
            <w:bookmarkEnd w:id="466"/>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(14,369)</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7" w:name="xdx_980_eus-gaap--ShareBasedCompensation"/>
            <w:bookmarkEnd w:id="467"/>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2.97</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8" w:name="xdx_983_eus-gaap--ShareBasedCompensation"/>
            <w:bookmarkEnd w:id="468"/>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4,128,216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69" w:name="xdx_987_eus-gaap--ShareBasedCompensation"/>
            <w:bookmarkEnd w:id="469"/>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3.66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70" w:name="xdx_8A8_zGrGuGhhnrU4"/>
      <w:bookmarkEnd w:id="47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t>
      </w:r>
      <w:bookmarkStart w:id="471" w:name="xdx_900_eus-gaap--UnamortizedDebtIssuanc"/>
      <w:bookmarkEnd w:id="471"/>
      <w:r>
        <w:rPr>
          <w:rFonts w:ascii="Times New Roman;Times;Serif" w:hAnsi="Times New Roman;Times;Serif"/>
          <w:b w:val="false"/>
          <w:i w:val="false"/>
          <w:caps w:val="false"/>
          <w:smallCaps w:val="false"/>
          <w:sz w:val="20"/>
        </w:rPr>
        <w:t>6.1 million of unamortized stock compensation expense remains, which the Company expects to recognize over a weighted-average period of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 exercise prices are set forth in the grant notice, without commission or other charge, provided however, that the price per share of the shares subject to the option shall not be less than the greater of </w:t>
      </w:r>
      <w:bookmarkStart w:id="472" w:name="xdx_90F_ecustom--FairMarketValueOfShares"/>
      <w:bookmarkEnd w:id="472"/>
      <w:r>
        <w:rPr>
          <w:rFonts w:ascii="Times New Roman;Times;Serif" w:hAnsi="Times New Roman;Times;Serif"/>
          <w:b w:val="false"/>
          <w:i w:val="false"/>
          <w:caps w:val="false"/>
          <w:smallCaps w:val="false"/>
          <w:sz w:val="20"/>
        </w:rPr>
        <w:t>(i) 100% of the fair market value of a share of stock on the grant date, or (ii) with respect to awards under the 2019 Plan or 2022 Plan, 110% of the fair market value of a share of stock on the grant date in the case of a Participant then owning more than 10% of the total combined voting power of all classes of stock of the Company or any “subsidiary corporation” of the Company or any “parent corporation” of the Company. Options to employees, directors and consultants generally vest and become exercisable over a period not exceeding four years. Options typically expire ten years after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recognize compensation cost for awards with only service conditions on a straight-line basis over the requisite service period for the entire award. Additionally, the Company’s policy is to issue new shares of common stock to satisfy stock option exercises. The Company applied fair value accounting for all share-based payments awards. The fair value of each option granted is estimated on the date of grant using the Black-Scholes option-pricing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Board approved a reduction in the exercise prices of certain stock options held by employees to purchase shares of the Company’s common stock under the Company’s 2022 Plan, 2019 Plan and 2009 Plan that had exercise prices greater than $</w:t>
      </w:r>
      <w:bookmarkStart w:id="473" w:name="xdx_902_eus-gaap--ShareBasedCompensation"/>
      <w:bookmarkEnd w:id="473"/>
      <w:r>
        <w:rPr>
          <w:rFonts w:ascii="Times New Roman;Times;Serif" w:hAnsi="Times New Roman;Times;Serif"/>
          <w:b w:val="false"/>
          <w:i w:val="false"/>
          <w:caps w:val="false"/>
          <w:smallCaps w:val="false"/>
          <w:sz w:val="20"/>
        </w:rPr>
        <w:t>5.00 per share. The exercise price for such options was reduced to $</w:t>
      </w:r>
      <w:bookmarkStart w:id="474" w:name="xdx_90E_eus-gaap--ShareBasedCompensation"/>
      <w:bookmarkEnd w:id="474"/>
      <w:r>
        <w:rPr>
          <w:rFonts w:ascii="Times New Roman;Times;Serif" w:hAnsi="Times New Roman;Times;Serif"/>
          <w:b w:val="false"/>
          <w:i w:val="false"/>
          <w:caps w:val="false"/>
          <w:smallCaps w:val="false"/>
          <w:sz w:val="20"/>
        </w:rPr>
        <w:t>3.33 per share, which was the closing price of the common stock on September 1, 2025, the effective date of the reduction. The total cost of the repricing was $</w:t>
      </w:r>
      <w:bookmarkStart w:id="475" w:name="xdx_90F_ecustom--RepricingCosts_pn5n6_c2"/>
      <w:bookmarkEnd w:id="475"/>
      <w:r>
        <w:rPr>
          <w:rFonts w:ascii="Times New Roman;Times;Serif" w:hAnsi="Times New Roman;Times;Serif"/>
          <w:b w:val="false"/>
          <w:i w:val="false"/>
          <w:caps w:val="false"/>
          <w:smallCaps w:val="false"/>
          <w:sz w:val="20"/>
        </w:rPr>
        <w:t>1.3 million, of which $</w:t>
      </w:r>
      <w:bookmarkStart w:id="476" w:name="xdx_90F_ecustom--RepricingCosts_pn5n6_c2"/>
      <w:bookmarkEnd w:id="476"/>
      <w:r>
        <w:rPr>
          <w:rFonts w:ascii="Times New Roman;Times;Serif" w:hAnsi="Times New Roman;Times;Serif"/>
          <w:b w:val="false"/>
          <w:i w:val="false"/>
          <w:caps w:val="false"/>
          <w:smallCaps w:val="false"/>
          <w:sz w:val="20"/>
        </w:rPr>
        <w:t>0.7 million was recorded as of December 31, 2025. During the three and six months ended June 30, 2026, the Company recorded amortization expense of $</w:t>
      </w:r>
      <w:bookmarkStart w:id="477" w:name="xdx_90B_eus-gaap--AdjustmentForAmortizat"/>
      <w:bookmarkEnd w:id="477"/>
      <w:r>
        <w:rPr>
          <w:rFonts w:ascii="Times New Roman;Times;Serif" w:hAnsi="Times New Roman;Times;Serif"/>
          <w:b w:val="false"/>
          <w:i w:val="false"/>
          <w:caps w:val="false"/>
          <w:smallCaps w:val="false"/>
          <w:sz w:val="20"/>
        </w:rPr>
        <w:t>0.07 million and $</w:t>
      </w:r>
      <w:bookmarkStart w:id="478" w:name="xdx_901_eus-gaap--AdjustmentForAmortizat"/>
      <w:bookmarkEnd w:id="478"/>
      <w:r>
        <w:rPr>
          <w:rFonts w:ascii="Times New Roman;Times;Serif" w:hAnsi="Times New Roman;Times;Serif"/>
          <w:b w:val="false"/>
          <w:i w:val="false"/>
          <w:caps w:val="false"/>
          <w:smallCaps w:val="false"/>
          <w:sz w:val="20"/>
        </w:rPr>
        <w:t>0.1 million related to the cost of the repricing, respectively. The remainder of the cost will be recorded over the future vesting periods of the options.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Board approved a stock option repricing whereby the exercise price of previously granted and unexercised options held by certain employees, directors and key advisers with exercise prices between $</w:t>
      </w:r>
      <w:bookmarkStart w:id="479" w:name="xdx_90D_eus-gaap--ShareBasedCompensation"/>
      <w:bookmarkEnd w:id="479"/>
      <w:r>
        <w:rPr>
          <w:rFonts w:ascii="Times New Roman;Times;Serif" w:hAnsi="Times New Roman;Times;Serif"/>
          <w:b w:val="false"/>
          <w:i w:val="false"/>
          <w:caps w:val="false"/>
          <w:smallCaps w:val="false"/>
          <w:sz w:val="20"/>
        </w:rPr>
        <w:t>9.00 and $</w:t>
      </w:r>
      <w:bookmarkStart w:id="480" w:name="xdx_906_eus-gaap--ShareBasedCompensation"/>
      <w:bookmarkEnd w:id="480"/>
      <w:r>
        <w:rPr>
          <w:rFonts w:ascii="Times New Roman;Times;Serif" w:hAnsi="Times New Roman;Times;Serif"/>
          <w:b w:val="false"/>
          <w:i w:val="false"/>
          <w:caps w:val="false"/>
          <w:smallCaps w:val="false"/>
          <w:sz w:val="20"/>
        </w:rPr>
        <w:t>10.50 per share, was adjusted to $</w:t>
      </w:r>
      <w:bookmarkStart w:id="481" w:name="xdx_90E_eus-gaap--ShareBasedCompensation"/>
      <w:bookmarkEnd w:id="481"/>
      <w:r>
        <w:rPr>
          <w:rFonts w:ascii="Times New Roman;Times;Serif" w:hAnsi="Times New Roman;Times;Serif"/>
          <w:b w:val="false"/>
          <w:i w:val="false"/>
          <w:caps w:val="false"/>
          <w:smallCaps w:val="false"/>
          <w:sz w:val="20"/>
        </w:rPr>
        <w:t>6.00 per share, the closing price of the Company’s initial public offering. The total cost of the repricing was $</w:t>
      </w:r>
      <w:bookmarkStart w:id="482" w:name="xdx_907_ecustom--RepricingCosts_pn4n6_c2"/>
      <w:bookmarkEnd w:id="482"/>
      <w:r>
        <w:rPr>
          <w:rFonts w:ascii="Times New Roman;Times;Serif" w:hAnsi="Times New Roman;Times;Serif"/>
          <w:b w:val="false"/>
          <w:i w:val="false"/>
          <w:caps w:val="false"/>
          <w:smallCaps w:val="false"/>
          <w:sz w:val="20"/>
        </w:rPr>
        <w:t>2.73 million, of which $</w:t>
      </w:r>
      <w:bookmarkStart w:id="483" w:name="xdx_905_ecustom--RepricingCosts_pn4n6_c2"/>
      <w:bookmarkEnd w:id="483"/>
      <w:r>
        <w:rPr>
          <w:rFonts w:ascii="Times New Roman;Times;Serif" w:hAnsi="Times New Roman;Times;Serif"/>
          <w:b w:val="false"/>
          <w:i w:val="false"/>
          <w:caps w:val="false"/>
          <w:smallCaps w:val="false"/>
          <w:sz w:val="20"/>
        </w:rPr>
        <w:t>2.72 million was recorded as of December 31, 2024, and the remaining cost was recorded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84" w:name="xdx_891_eus-gaap--ScheduleOfShareBasedPa"/>
      <w:bookmarkEnd w:id="484"/>
      <w:r>
        <w:rPr>
          <w:rFonts w:ascii="Times New Roman;Times;Serif" w:hAnsi="Times New Roman;Times;Serif"/>
          <w:b w:val="false"/>
          <w:i w:val="false"/>
          <w:caps w:val="false"/>
          <w:smallCaps w:val="false"/>
          <w:sz w:val="20"/>
        </w:rPr>
        <w:t>The assumptions used for the options granted during the period are as follows: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485" w:name="xdx_8B6_z2QMFqbZ2tb2"/>
      <w:bookmarkEnd w:id="485"/>
      <w:r>
        <w:rPr>
          <w:rFonts w:ascii="Times New Roman;Times;Serif" w:hAnsi="Times New Roman;Times;Serif"/>
          <w:b w:val="false"/>
          <w:i w:val="false"/>
          <w:caps w:val="false"/>
          <w:smallCaps w:val="false"/>
          <w:sz w:val="20"/>
        </w:rPr>
        <w:t>SCHEDULE OF ASSUMPTIONS USED FOR OPTIONS GRANTED </w:t>
      </w:r>
    </w:p>
    <w:tbl>
      <w:tblPr>
        <w:tblW w:w="5518" w:type="dxa"/>
        <w:jc w:val="left"/>
        <w:tblInd w:w="0" w:type="dxa"/>
        <w:tblLayout w:type="fixed"/>
        <w:tblCellMar>
          <w:top w:w="0" w:type="dxa"/>
          <w:left w:w="0" w:type="dxa"/>
          <w:bottom w:w="0" w:type="dxa"/>
          <w:right w:w="0" w:type="dxa"/>
        </w:tblCellMar>
      </w:tblPr>
      <w:tblGrid>
        <w:gridCol w:w="2405"/>
        <w:gridCol w:w="60"/>
        <w:gridCol w:w="275"/>
        <w:gridCol w:w="866"/>
        <w:gridCol w:w="423"/>
        <w:gridCol w:w="118"/>
        <w:gridCol w:w="275"/>
        <w:gridCol w:w="866"/>
        <w:gridCol w:w="23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23"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Exercise prices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bookmarkStart w:id="486" w:name="xdx_902_eus-gaap--ShareBasedCompensation"/>
            <w:bookmarkEnd w:id="486"/>
            <w:r>
              <w:rPr/>
              <w:t>3.03</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bookmarkStart w:id="487" w:name="xdx_907_eus-gaap--ShareBasedCompensation"/>
            <w:bookmarkEnd w:id="487"/>
            <w:r>
              <w:rPr/>
              <w:t>3.95</w:t>
            </w:r>
          </w:p>
        </w:tc>
        <w:tc>
          <w:tcPr>
            <w:tcW w:w="23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bookmarkStart w:id="488" w:name="xdx_908_eus-gaap--ShareBasedCompensation"/>
            <w:bookmarkEnd w:id="488"/>
            <w:r>
              <w:rPr/>
              <w:t>-</w:t>
            </w:r>
          </w:p>
        </w:tc>
        <w:tc>
          <w:tcPr>
            <w:tcW w:w="423"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bookmarkStart w:id="489" w:name="xdx_902_eus-gaap--ShareBasedCompensation"/>
            <w:bookmarkEnd w:id="489"/>
            <w:r>
              <w:rPr/>
              <w:t>-</w:t>
            </w:r>
          </w:p>
        </w:tc>
        <w:tc>
          <w:tcPr>
            <w:tcW w:w="23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bookmarkStart w:id="490" w:name="xdx_909_eus-gaap--ShareBasedCompensation"/>
            <w:bookmarkEnd w:id="490"/>
            <w:r>
              <w:rPr/>
              <w:t>109</w:t>
            </w:r>
          </w:p>
        </w:tc>
        <w:tc>
          <w:tcPr>
            <w:tcW w:w="423"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bookmarkStart w:id="491" w:name="xdx_90D_eus-gaap--ShareBasedCompensation"/>
            <w:bookmarkEnd w:id="491"/>
            <w:r>
              <w:rPr/>
              <w:t>100</w:t>
            </w:r>
          </w:p>
        </w:tc>
        <w:tc>
          <w:tcPr>
            <w:tcW w:w="230" w:type="dxa"/>
            <w:tcBorders/>
            <w:shd w:fill="CCEEFF" w:val="clear"/>
            <w:vAlign w:val="center"/>
          </w:tcPr>
          <w:p>
            <w:pPr>
              <w:pStyle w:val="TableContents"/>
              <w:bidi w:val="0"/>
              <w:spacing w:before="0" w:after="283"/>
              <w:jc w:val="left"/>
              <w:rPr/>
            </w:pPr>
            <w:r>
              <w:rPr/>
              <w:t>%</w:t>
            </w:r>
          </w:p>
        </w:tc>
      </w:tr>
      <w:tr>
        <w:trPr/>
        <w:tc>
          <w:tcPr>
            <w:tcW w:w="240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bookmarkStart w:id="492" w:name="xdx_90C_eus-gaap--ShareBasedCompensation"/>
            <w:bookmarkEnd w:id="492"/>
            <w:r>
              <w:rPr/>
              <w:t>4.2</w:t>
            </w:r>
          </w:p>
        </w:tc>
        <w:tc>
          <w:tcPr>
            <w:tcW w:w="423"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bookmarkStart w:id="493" w:name="xdx_904_eus-gaap--ShareBasedCompensation"/>
            <w:bookmarkEnd w:id="493"/>
            <w:r>
              <w:rPr/>
              <w:t>4.4</w:t>
            </w:r>
          </w:p>
        </w:tc>
        <w:tc>
          <w:tcPr>
            <w:tcW w:w="230" w:type="dxa"/>
            <w:tcBorders/>
            <w:shd w:fill="FFFFFF" w:val="clear"/>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Expected term of options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bookmarkStart w:id="494" w:name="xdx_905_eus-gaap--SharebasedCompensation"/>
            <w:bookmarkEnd w:id="494"/>
            <w:r>
              <w:rPr/>
              <w:t>6.3</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bookmarkStart w:id="495" w:name="xdx_900_eus-gaap--SharebasedCompensation"/>
            <w:bookmarkEnd w:id="495"/>
            <w:r>
              <w:rPr/>
              <w:t>7.0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96" w:name="xdx_8A2_zIY8jWSFNZS8"/>
      <w:bookmarkEnd w:id="49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97" w:name="xdx_89B_eus-gaap--ScheduleOfShareBasedCo"/>
      <w:bookmarkEnd w:id="497"/>
      <w:r>
        <w:rPr>
          <w:rFonts w:ascii="Times New Roman;Times;Serif" w:hAnsi="Times New Roman;Times;Serif"/>
          <w:b w:val="false"/>
          <w:i w:val="false"/>
          <w:caps w:val="false"/>
          <w:smallCaps w:val="false"/>
          <w:sz w:val="20"/>
        </w:rPr>
        <w:t>The table below summarizes the Company’s stock option activities for the six months ended June 30,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8" w:name="xdx_8BA_zyfhMLUI6CQc"/>
      <w:bookmarkEnd w:id="498"/>
      <w:r>
        <w:rPr>
          <w:rFonts w:ascii="Times New Roman;Times;Serif" w:hAnsi="Times New Roman;Times;Serif"/>
          <w:b w:val="false"/>
          <w:i w:val="false"/>
          <w:caps w:val="false"/>
          <w:smallCaps w:val="false"/>
          <w:sz w:val="20"/>
        </w:rPr>
        <w:t>SCHEDULE OF STOCK OPTION ACTIVITY </w:t>
      </w:r>
    </w:p>
    <w:tbl>
      <w:tblPr>
        <w:tblW w:w="10205" w:type="dxa"/>
        <w:jc w:val="left"/>
        <w:tblInd w:w="0" w:type="dxa"/>
        <w:tblLayout w:type="fixed"/>
        <w:tblCellMar>
          <w:top w:w="0" w:type="dxa"/>
          <w:left w:w="0" w:type="dxa"/>
          <w:bottom w:w="0" w:type="dxa"/>
          <w:right w:w="0" w:type="dxa"/>
        </w:tblCellMar>
      </w:tblPr>
      <w:tblGrid>
        <w:gridCol w:w="3301"/>
        <w:gridCol w:w="60"/>
        <w:gridCol w:w="94"/>
        <w:gridCol w:w="1561"/>
        <w:gridCol w:w="95"/>
        <w:gridCol w:w="60"/>
        <w:gridCol w:w="452"/>
        <w:gridCol w:w="1425"/>
        <w:gridCol w:w="60"/>
        <w:gridCol w:w="60"/>
        <w:gridCol w:w="192"/>
        <w:gridCol w:w="1422"/>
        <w:gridCol w:w="60"/>
        <w:gridCol w:w="60"/>
        <w:gridCol w:w="244"/>
        <w:gridCol w:w="979"/>
        <w:gridCol w:w="80"/>
      </w:tblGrid>
      <w:tr>
        <w:trPr/>
        <w:tc>
          <w:tcPr>
            <w:tcW w:w="3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Exercise Price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Contractual Terms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80" w:type="dxa"/>
            <w:tcBorders/>
            <w:vAlign w:val="center"/>
          </w:tcPr>
          <w:p>
            <w:pPr>
              <w:pStyle w:val="TableContents"/>
              <w:bidi w:val="0"/>
              <w:spacing w:before="0" w:after="283"/>
              <w:jc w:val="left"/>
              <w:rPr/>
            </w:pPr>
            <w:r>
              <w:rPr/>
              <w:t> </w:t>
            </w:r>
          </w:p>
        </w:tc>
      </w:tr>
      <w:tr>
        <w:trPr/>
        <w:tc>
          <w:tcPr>
            <w:tcW w:w="3301"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499" w:name="xdx_98A_eus-gaap--ShareBasedCompensation"/>
            <w:bookmarkEnd w:id="499"/>
          </w:p>
        </w:tc>
        <w:tc>
          <w:tcPr>
            <w:tcW w:w="1561" w:type="dxa"/>
            <w:tcBorders/>
            <w:shd w:fill="CCEEFF" w:val="clear"/>
            <w:vAlign w:val="center"/>
          </w:tcPr>
          <w:p>
            <w:pPr>
              <w:pStyle w:val="TableContents"/>
              <w:bidi w:val="0"/>
              <w:spacing w:before="0" w:after="283"/>
              <w:jc w:val="right"/>
              <w:rPr/>
            </w:pPr>
            <w:r>
              <w:rPr/>
              <w:t>6,711,979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bookmarkStart w:id="500" w:name="xdx_989_eus-gaap--ShareBasedCompensation"/>
            <w:bookmarkEnd w:id="500"/>
          </w:p>
        </w:tc>
        <w:tc>
          <w:tcPr>
            <w:tcW w:w="1425" w:type="dxa"/>
            <w:tcBorders/>
            <w:shd w:fill="CCEEFF" w:val="clear"/>
            <w:vAlign w:val="center"/>
          </w:tcPr>
          <w:p>
            <w:pPr>
              <w:pStyle w:val="TableContents"/>
              <w:bidi w:val="0"/>
              <w:spacing w:before="0" w:after="283"/>
              <w:jc w:val="right"/>
              <w:rPr/>
            </w:pPr>
            <w:r>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bookmarkStart w:id="501" w:name="xdx_90C_eus-gaap--SharebasedCompensation"/>
            <w:bookmarkEnd w:id="501"/>
            <w:r>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bookmarkStart w:id="502" w:name="xdx_98B_eus-gaap--ShareBasedCompensation"/>
            <w:bookmarkEnd w:id="502"/>
          </w:p>
        </w:tc>
        <w:tc>
          <w:tcPr>
            <w:tcW w:w="979" w:type="dxa"/>
            <w:tcBorders/>
            <w:shd w:fill="CCEEFF" w:val="clear"/>
            <w:vAlign w:val="center"/>
          </w:tcPr>
          <w:p>
            <w:pPr>
              <w:pStyle w:val="TableContents"/>
              <w:bidi w:val="0"/>
              <w:spacing w:before="0" w:after="283"/>
              <w:jc w:val="right"/>
              <w:rPr/>
            </w:pPr>
            <w:r>
              <w:rPr/>
              <w:t>5,863</w:t>
            </w:r>
          </w:p>
        </w:tc>
        <w:tc>
          <w:tcPr>
            <w:tcW w:w="80" w:type="dxa"/>
            <w:tcBorders/>
            <w:shd w:fill="CCEEFF"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bookmarkStart w:id="503" w:name="xdx_982_eus-gaap--ShareBasedCompensation"/>
            <w:bookmarkEnd w:id="503"/>
          </w:p>
        </w:tc>
        <w:tc>
          <w:tcPr>
            <w:tcW w:w="1561" w:type="dxa"/>
            <w:tcBorders/>
            <w:shd w:fill="FFFFFF" w:val="clear"/>
            <w:vAlign w:val="center"/>
          </w:tcPr>
          <w:p>
            <w:pPr>
              <w:pStyle w:val="TableContents"/>
              <w:bidi w:val="0"/>
              <w:spacing w:before="0" w:after="283"/>
              <w:jc w:val="right"/>
              <w:rPr/>
            </w:pPr>
            <w:r>
              <w:rPr/>
              <w:t>426,168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bookmarkStart w:id="504" w:name="xdx_98B_eus-gaap--ShareBasedCompensation"/>
            <w:bookmarkEnd w:id="504"/>
          </w:p>
        </w:tc>
        <w:tc>
          <w:tcPr>
            <w:tcW w:w="1425" w:type="dxa"/>
            <w:tcBorders/>
            <w:shd w:fill="FFFFFF" w:val="cle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01" w:type="dxa"/>
            <w:tcBorders/>
            <w:shd w:fill="CCEEFF" w:val="clear"/>
            <w:vAlign w:val="center"/>
          </w:tcPr>
          <w:p>
            <w:pPr>
              <w:pStyle w:val="TableContents"/>
              <w:bidi w:val="0"/>
              <w:spacing w:before="0" w:after="283"/>
              <w:jc w:val="left"/>
              <w:rPr/>
            </w:pPr>
            <w:r>
              <w:rPr/>
              <w:t>Cancelled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505" w:name="xdx_98F_eus-gaap--ShareBasedCompensation"/>
            <w:bookmarkEnd w:id="505"/>
          </w:p>
        </w:tc>
        <w:tc>
          <w:tcPr>
            <w:tcW w:w="1561" w:type="dxa"/>
            <w:tcBorders/>
            <w:shd w:fill="CCEEFF" w:val="clear"/>
            <w:vAlign w:val="center"/>
          </w:tcPr>
          <w:p>
            <w:pPr>
              <w:pStyle w:val="TableContents"/>
              <w:bidi w:val="0"/>
              <w:spacing w:before="0" w:after="283"/>
              <w:jc w:val="right"/>
              <w:rPr/>
            </w:pPr>
            <w:r>
              <w:rPr/>
              <w:t>(18,492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bookmarkStart w:id="506" w:name="xdx_98A_eus-gaap--ShareBasedCompensation"/>
            <w:bookmarkEnd w:id="506"/>
          </w:p>
        </w:tc>
        <w:tc>
          <w:tcPr>
            <w:tcW w:w="1425"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bookmarkStart w:id="507" w:name="xdx_985_eus-gaap--StockIssuedDuringPerio"/>
            <w:bookmarkEnd w:id="507"/>
          </w:p>
        </w:tc>
        <w:tc>
          <w:tcPr>
            <w:tcW w:w="1561" w:type="dxa"/>
            <w:tcBorders/>
            <w:shd w:fill="FFFFFF" w:val="clear"/>
            <w:vAlign w:val="center"/>
          </w:tcPr>
          <w:p>
            <w:pPr>
              <w:pStyle w:val="TableContents"/>
              <w:bidi w:val="0"/>
              <w:spacing w:before="0" w:after="283"/>
              <w:jc w:val="right"/>
              <w:rPr/>
            </w:pPr>
            <w:r>
              <w:rPr/>
              <w:t>(5,542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bookmarkStart w:id="508" w:name="xdx_98E_eus-gaap--ShareBasedCompensation"/>
            <w:bookmarkEnd w:id="508"/>
          </w:p>
        </w:tc>
        <w:tc>
          <w:tcPr>
            <w:tcW w:w="1425" w:type="dxa"/>
            <w:tcBorders/>
            <w:shd w:fill="FFFFFF" w:val="clear"/>
            <w:vAlign w:val="center"/>
          </w:tcPr>
          <w:p>
            <w:pPr>
              <w:pStyle w:val="TableContents"/>
              <w:bidi w:val="0"/>
              <w:spacing w:before="0" w:after="283"/>
              <w:jc w:val="right"/>
              <w:rPr/>
            </w:pPr>
            <w:r>
              <w:rPr/>
              <w:t>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01"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9" w:name="xdx_988_eus-gaap--ShareBasedCompensation"/>
            <w:bookmarkEnd w:id="509"/>
          </w:p>
        </w:tc>
        <w:tc>
          <w:tcPr>
            <w:tcW w:w="1561" w:type="dxa"/>
            <w:tcBorders>
              <w:bottom w:val="single" w:sz="8" w:space="0" w:color="000000"/>
            </w:tcBorders>
            <w:shd w:fill="CCEEFF" w:val="clear"/>
            <w:tcMar>
              <w:bottom w:w="28" w:type="dxa"/>
            </w:tcMar>
            <w:vAlign w:val="center"/>
          </w:tcPr>
          <w:p>
            <w:pPr>
              <w:pStyle w:val="TableContents"/>
              <w:bidi w:val="0"/>
              <w:spacing w:before="0" w:after="283"/>
              <w:jc w:val="right"/>
              <w:rPr/>
            </w:pPr>
            <w:r>
              <w:rPr/>
              <w:t>(126,351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0" w:name="xdx_98C_eus-gaap--ShareBasedCompensation"/>
            <w:bookmarkEnd w:id="510"/>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pPr>
            <w:r>
              <w:rPr/>
              <w:t>Outstanding at June 30, 2026</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11" w:name="xdx_980_eus-gaap--ShareBasedCompensation"/>
            <w:bookmarkEnd w:id="511"/>
          </w:p>
        </w:tc>
        <w:tc>
          <w:tcPr>
            <w:tcW w:w="1561" w:type="dxa"/>
            <w:tcBorders>
              <w:bottom w:val="double" w:sz="6" w:space="0" w:color="000000"/>
            </w:tcBorders>
            <w:shd w:fill="FFFFFF" w:val="clear"/>
            <w:tcMar>
              <w:bottom w:w="28" w:type="dxa"/>
            </w:tcMar>
            <w:vAlign w:val="center"/>
          </w:tcPr>
          <w:p>
            <w:pPr>
              <w:pStyle w:val="TableContents"/>
              <w:bidi w:val="0"/>
              <w:spacing w:before="0" w:after="283"/>
              <w:jc w:val="right"/>
              <w:rPr/>
            </w:pPr>
            <w:r>
              <w:rPr/>
              <w:t>6,987,762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2" w:name="xdx_98A_eus-gaap--ShareBasedCompensation"/>
            <w:bookmarkEnd w:id="512"/>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pPr>
            <w:r>
              <w:rPr/>
              <w:t>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13" w:name="xdx_905_eus-gaap--SharebasedCompensation"/>
            <w:bookmarkEnd w:id="513"/>
            <w:r>
              <w:rPr/>
              <w:t>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4" w:name="xdx_987_eus-gaap--ShareBasedCompensation"/>
            <w:bookmarkEnd w:id="514"/>
          </w:p>
        </w:tc>
        <w:tc>
          <w:tcPr>
            <w:tcW w:w="979" w:type="dxa"/>
            <w:tcBorders>
              <w:bottom w:val="double" w:sz="6" w:space="0" w:color="000000"/>
            </w:tcBorders>
            <w:shd w:fill="FFFFFF" w:val="clear"/>
            <w:tcMar>
              <w:bottom w:w="28" w:type="dxa"/>
            </w:tcMar>
            <w:vAlign w:val="center"/>
          </w:tcPr>
          <w:p>
            <w:pPr>
              <w:pStyle w:val="TableContents"/>
              <w:bidi w:val="0"/>
              <w:spacing w:before="0" w:after="283"/>
              <w:jc w:val="right"/>
              <w:rPr/>
            </w:pPr>
            <w:r>
              <w:rPr/>
              <w:t>650</w:t>
            </w:r>
          </w:p>
        </w:tc>
        <w:tc>
          <w:tcPr>
            <w:tcW w:w="80" w:type="dxa"/>
            <w:tcBorders/>
            <w:shd w:fill="FFFFFF" w:val="clear"/>
            <w:vAlign w:val="center"/>
          </w:tcPr>
          <w:p>
            <w:pPr>
              <w:pStyle w:val="TableContents"/>
              <w:bidi w:val="0"/>
              <w:spacing w:before="0" w:after="283"/>
              <w:jc w:val="left"/>
              <w:rPr/>
            </w:pPr>
            <w:r>
              <w:rPr/>
              <w:t> </w:t>
            </w:r>
          </w:p>
        </w:tc>
      </w:tr>
      <w:tr>
        <w:trPr/>
        <w:tc>
          <w:tcPr>
            <w:tcW w:w="3301" w:type="dxa"/>
            <w:tcBorders/>
            <w:shd w:fill="CCEEFF" w:val="clear"/>
            <w:vAlign w:val="center"/>
          </w:tcPr>
          <w:p>
            <w:pPr>
              <w:pStyle w:val="TableContents"/>
              <w:bidi w:val="0"/>
              <w:spacing w:before="0" w:after="283"/>
              <w:jc w:val="left"/>
              <w:rPr/>
            </w:pPr>
            <w:r>
              <w:rPr/>
              <w:t>Vested and exercisable, June 30, 2026</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5" w:name="xdx_980_eus-gaap--ShareBasedCompensation"/>
            <w:bookmarkEnd w:id="515"/>
          </w:p>
        </w:tc>
        <w:tc>
          <w:tcPr>
            <w:tcW w:w="1561" w:type="dxa"/>
            <w:tcBorders>
              <w:bottom w:val="double" w:sz="6" w:space="0" w:color="000000"/>
            </w:tcBorders>
            <w:shd w:fill="CCEEFF" w:val="clear"/>
            <w:tcMar>
              <w:bottom w:w="28" w:type="dxa"/>
            </w:tcMar>
            <w:vAlign w:val="center"/>
          </w:tcPr>
          <w:p>
            <w:pPr>
              <w:pStyle w:val="TableContents"/>
              <w:bidi w:val="0"/>
              <w:spacing w:before="0" w:after="283"/>
              <w:jc w:val="right"/>
              <w:rPr/>
            </w:pPr>
            <w:r>
              <w:rPr/>
              <w:t>4,514,608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6" w:name="xdx_989_eus-gaap--ShareBasedCompensation"/>
            <w:bookmarkEnd w:id="516"/>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17" w:name="xdx_90B_eus-gaap--SharebasedCompensation"/>
            <w:bookmarkEnd w:id="517"/>
            <w:r>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8" w:name="xdx_984_eus-gaap--ShareBasedCompensation"/>
            <w:bookmarkEnd w:id="518"/>
          </w:p>
        </w:tc>
        <w:tc>
          <w:tcPr>
            <w:tcW w:w="97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pPr>
            <w:r>
              <w:rPr/>
              <w:t>Unvested, June 30, 2026</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19" w:name="xdx_98D_eus-gaap--SharebasedCompensation"/>
            <w:bookmarkEnd w:id="519"/>
          </w:p>
        </w:tc>
        <w:tc>
          <w:tcPr>
            <w:tcW w:w="1561" w:type="dxa"/>
            <w:tcBorders>
              <w:bottom w:val="double" w:sz="6" w:space="0" w:color="000000"/>
            </w:tcBorders>
            <w:shd w:fill="FFFFFF" w:val="clear"/>
            <w:tcMar>
              <w:bottom w:w="28" w:type="dxa"/>
            </w:tcMar>
            <w:vAlign w:val="center"/>
          </w:tcPr>
          <w:p>
            <w:pPr>
              <w:pStyle w:val="TableContents"/>
              <w:bidi w:val="0"/>
              <w:spacing w:before="0" w:after="283"/>
              <w:jc w:val="right"/>
              <w:rPr/>
            </w:pPr>
            <w:r>
              <w:rPr/>
              <w:t>2,473,154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0" w:name="xdx_8AF_zOrztR7hlptb"/>
      <w:bookmarkEnd w:id="52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unvested stock option expense of $</w:t>
      </w:r>
      <w:bookmarkStart w:id="521" w:name="xdx_90A_eus-gaap--StockOptionPlanExpense"/>
      <w:bookmarkEnd w:id="521"/>
      <w:r>
        <w:rPr>
          <w:rFonts w:ascii="Times New Roman;Times;Serif" w:hAnsi="Times New Roman;Times;Serif"/>
          <w:b w:val="false"/>
          <w:i w:val="false"/>
          <w:caps w:val="false"/>
          <w:smallCaps w:val="false"/>
          <w:sz w:val="20"/>
        </w:rPr>
        <w:t>10.2 million remained and will be amortized over the remaining vesting period, through January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22" w:name="xdx_892_eus-gaap--ScheduleOfStockholders"/>
      <w:bookmarkEnd w:id="522"/>
      <w:r>
        <w:rPr>
          <w:rFonts w:ascii="Times New Roman;Times;Serif" w:hAnsi="Times New Roman;Times;Serif"/>
          <w:b w:val="false"/>
          <w:i w:val="false"/>
          <w:caps w:val="false"/>
          <w:smallCaps w:val="false"/>
          <w:sz w:val="20"/>
        </w:rPr>
        <w:t>The table below summarizes the Company’s warrants activities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3" w:name="xdx_8B4_zVNcBnbyVP14"/>
      <w:bookmarkEnd w:id="523"/>
      <w:r>
        <w:rPr>
          <w:rFonts w:ascii="Times New Roman;Times;Serif" w:hAnsi="Times New Roman;Times;Serif"/>
          <w:b w:val="false"/>
          <w:i w:val="false"/>
          <w:caps w:val="false"/>
          <w:smallCaps w:val="false"/>
          <w:sz w:val="20"/>
        </w:rPr>
        <w:t>SCHEDULE OF WARRANTS ACTIVITIES </w:t>
      </w:r>
    </w:p>
    <w:tbl>
      <w:tblPr>
        <w:tblW w:w="8243" w:type="dxa"/>
        <w:jc w:val="left"/>
        <w:tblInd w:w="0" w:type="dxa"/>
        <w:tblLayout w:type="fixed"/>
        <w:tblCellMar>
          <w:top w:w="0" w:type="dxa"/>
          <w:left w:w="0" w:type="dxa"/>
          <w:bottom w:w="0" w:type="dxa"/>
          <w:right w:w="0" w:type="dxa"/>
        </w:tblCellMar>
      </w:tblPr>
      <w:tblGrid>
        <w:gridCol w:w="3665"/>
        <w:gridCol w:w="60"/>
        <w:gridCol w:w="79"/>
        <w:gridCol w:w="1305"/>
        <w:gridCol w:w="60"/>
        <w:gridCol w:w="60"/>
        <w:gridCol w:w="140"/>
        <w:gridCol w:w="1085"/>
        <w:gridCol w:w="60"/>
        <w:gridCol w:w="60"/>
        <w:gridCol w:w="384"/>
        <w:gridCol w:w="1210"/>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Range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524" w:name="xdx_98D_eus-gaap--ShareBasedCompensation"/>
            <w:bookmarkEnd w:id="524"/>
          </w:p>
        </w:tc>
        <w:tc>
          <w:tcPr>
            <w:tcW w:w="1305" w:type="dxa"/>
            <w:tcBorders/>
            <w:shd w:fill="CCEEFF" w:val="clear"/>
            <w:vAlign w:val="center"/>
          </w:tcPr>
          <w:p>
            <w:pPr>
              <w:pStyle w:val="TableContents"/>
              <w:bidi w:val="0"/>
              <w:spacing w:before="0" w:after="283"/>
              <w:jc w:val="right"/>
              <w:rPr/>
            </w:pPr>
            <w:r>
              <w:rPr/>
              <w:t>7,930,785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bookmarkStart w:id="525" w:name="xdx_903_ecustom--ShareBasedCompensationA"/>
            <w:bookmarkEnd w:id="525"/>
            <w:r>
              <w:rPr>
                <w:rFonts w:ascii="Times New Roman;Times;Serif" w:hAnsi="Times New Roman;Times;Serif"/>
                <w:sz w:val="20"/>
              </w:rPr>
              <w:t>3.00 – $</w:t>
            </w:r>
            <w:bookmarkStart w:id="526" w:name="xdx_90A_ecustom--ShareBasedCompensationA"/>
            <w:bookmarkEnd w:id="526"/>
            <w:r>
              <w:rPr>
                <w:rFonts w:ascii="Times New Roman;Times;Serif" w:hAnsi="Times New Roman;Times;Serif"/>
                <w:sz w:val="20"/>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527" w:name="xdx_980_ecustom--ShareBasedCompensationA"/>
            <w:bookmarkEnd w:id="527"/>
          </w:p>
        </w:tc>
        <w:tc>
          <w:tcPr>
            <w:tcW w:w="1210" w:type="dxa"/>
            <w:tcBorders/>
            <w:shd w:fill="CCEEFF" w:val="clear"/>
            <w:vAlign w:val="center"/>
          </w:tcPr>
          <w:p>
            <w:pPr>
              <w:pStyle w:val="TableContents"/>
              <w:bidi w:val="0"/>
              <w:spacing w:before="0" w:after="283"/>
              <w:jc w:val="right"/>
              <w:rPr/>
            </w:pPr>
            <w:r>
              <w:rPr/>
              <w:t>5.30</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528" w:name="xdx_987_eus-gaap--ShareBasedCompensation"/>
            <w:bookmarkEnd w:id="528"/>
          </w:p>
        </w:tc>
        <w:tc>
          <w:tcPr>
            <w:tcW w:w="1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bookmarkStart w:id="529" w:name="xdx_900_ecustom--ShareBasedCompensationA"/>
            <w:bookmarkEnd w:id="52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bookmarkStart w:id="530" w:name="xdx_989_ecustom--ShareBasedCompensationA"/>
            <w:bookmarkEnd w:id="530"/>
          </w:p>
        </w:tc>
        <w:tc>
          <w:tcPr>
            <w:tcW w:w="12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pPr>
            <w:r>
              <w:rPr/>
              <w:t>Cancelled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531" w:name="xdx_987_eus-gaap--ShareBasedCompensation"/>
            <w:bookmarkEnd w:id="531"/>
          </w:p>
        </w:tc>
        <w:tc>
          <w:tcPr>
            <w:tcW w:w="13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bookmarkStart w:id="532" w:name="xdx_908_ecustom--ShareBasedCompensationA"/>
            <w:bookmarkEnd w:id="532"/>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bookmarkStart w:id="533" w:name="xdx_98A_ecustom--ShareBasedCompensationA"/>
            <w:bookmarkEnd w:id="533"/>
          </w:p>
        </w:tc>
        <w:tc>
          <w:tcPr>
            <w:tcW w:w="12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both"/>
              <w:rPr/>
            </w:pPr>
            <w:r>
              <w:rPr/>
              <w:t>Exercised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534" w:name="xdx_985_eus-gaap--ShareBasedCompensation"/>
            <w:bookmarkEnd w:id="534"/>
          </w:p>
        </w:tc>
        <w:tc>
          <w:tcPr>
            <w:tcW w:w="13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bookmarkStart w:id="535" w:name="xdx_90C_ecustom--ShareBasedCompensationA"/>
            <w:bookmarkEnd w:id="53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bookmarkStart w:id="536" w:name="xdx_98B_ecustom--ShareBasedCompensationA"/>
            <w:bookmarkEnd w:id="536"/>
          </w:p>
        </w:tc>
        <w:tc>
          <w:tcPr>
            <w:tcW w:w="12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pPr>
            <w:r>
              <w:rPr/>
              <w:t>Expired</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7" w:name="xdx_981_eus-gaap--ShareBasedCompensation"/>
            <w:bookmarkEnd w:id="537"/>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(177,395)</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38" w:name="xdx_90D_ecustom--ShareBasedCompensationA"/>
            <w:bookmarkEnd w:id="538"/>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9" w:name="xdx_982_ecustom--ShareBasedCompensationA"/>
            <w:bookmarkEnd w:id="539"/>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9.00</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both"/>
              <w:rPr/>
            </w:pPr>
            <w:r>
              <w:rPr/>
              <w:t>Outstanding, June 30, 2026</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0" w:name="xdx_98B_eus-gaap--ShareBasedCompensation"/>
            <w:bookmarkEnd w:id="540"/>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7,753,390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541" w:name="xdx_90B_ecustom--ShareBasedCompensationA"/>
            <w:bookmarkEnd w:id="541"/>
            <w:r>
              <w:rPr>
                <w:rFonts w:ascii="Times New Roman;Times;Serif" w:hAnsi="Times New Roman;Times;Serif"/>
                <w:sz w:val="20"/>
              </w:rPr>
              <w:t>3.00 – $</w:t>
            </w:r>
            <w:bookmarkStart w:id="542" w:name="xdx_90C_ecustom--ShareBasedCompensationA"/>
            <w:bookmarkEnd w:id="542"/>
            <w:r>
              <w:rPr>
                <w:rFonts w:ascii="Times New Roman;Times;Serif" w:hAnsi="Times New Roman;Times;Serif"/>
                <w:sz w:val="20"/>
              </w:rPr>
              <w:t xml:space="preserve">9.00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43" w:name="xdx_98D_ecustom--ShareBasedCompensationA"/>
            <w:bookmarkEnd w:id="543"/>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5.22</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pPr>
            <w:r>
              <w:rPr/>
              <w:t>Vested and exercisable, June 30, 2026</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4" w:name="xdx_986_ecustom--ShareBasedCompensationA"/>
            <w:bookmarkEnd w:id="544"/>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7,753,390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545" w:name="xdx_901_ecustom--ShareBasedCompensationA"/>
            <w:bookmarkEnd w:id="545"/>
            <w:r>
              <w:rPr>
                <w:rFonts w:ascii="Times New Roman;Times;Serif" w:hAnsi="Times New Roman;Times;Serif"/>
                <w:sz w:val="20"/>
              </w:rPr>
              <w:t>3.00 – $</w:t>
            </w:r>
            <w:bookmarkStart w:id="546" w:name="xdx_906_ecustom--ShareBasedCompensationA"/>
            <w:bookmarkEnd w:id="546"/>
            <w:r>
              <w:rPr>
                <w:rFonts w:ascii="Times New Roman;Times;Serif" w:hAnsi="Times New Roman;Times;Serif"/>
                <w:sz w:val="20"/>
              </w:rPr>
              <w:t xml:space="preserve">9.00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547" w:name="xdx_98C_ecustom--ShareBasedCompensationA"/>
            <w:bookmarkEnd w:id="547"/>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5.22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8" w:name="xdx_8AF_zZBYkKVNqira"/>
      <w:bookmarkEnd w:id="54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w:t>
      </w:r>
      <w:bookmarkStart w:id="549" w:name="xdx_909_ecustom--ShareBasedCompensationA"/>
      <w:bookmarkEnd w:id="549"/>
      <w:r>
        <w:rPr>
          <w:rFonts w:ascii="Times New Roman;Times;Serif" w:hAnsi="Times New Roman;Times;Serif"/>
          <w:b w:val="false"/>
          <w:i w:val="false"/>
          <w:caps w:val="false"/>
          <w:smallCaps w:val="false"/>
          <w:sz w:val="20"/>
        </w:rPr>
        <w:t>no intrinsic value for warrant shares outstanding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Purchase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50" w:name="xdx_902_ecustom--EmployeeStockPurchasePl"/>
      <w:bookmarkEnd w:id="550"/>
      <w:r>
        <w:rPr>
          <w:rFonts w:ascii="Times New Roman;Times;Serif" w:hAnsi="Times New Roman;Times;Serif"/>
          <w:b w:val="false"/>
          <w:i w:val="false"/>
          <w:caps w:val="false"/>
          <w:smallCaps w:val="false"/>
          <w:sz w:val="20"/>
        </w:rPr>
        <w:t xml:space="preserve">The Company’s 2022 Employee Stock Purchase Plan (ESPP) permits eligible employees to purchase Company shares on an after-tax basis in an amount between 1% and 15% of their earnings: (i) on May 16th of each year at a 15% discount of the fair market value of the Company’s common stock on November 17th of the previous year or May 16th of the then-current year, whichever is lower, and (ii) on November 15th of each year at a 15% discount of the fair market value of the Company’s common stock on May 17th or November 15th of the then-current year, whichever is lower. The ESPP includes an “evergreen” feature, which provides that an additional number of shares of common stock will automatically be added to the shares authorized for issuance under the ESPP on January 1st of each year, beginning on January 1, 2024 and ending on (and including) January 1, 2032. The number of shares added each calendar year will equal the lesser of 1% of the Company’s common stock outstanding on December 31st of the preceding calendar year or 2,100,000 or a lesser number as determined by the Board. In January 2026, the number of shares available to be issued under the ESPP automatically increased by </w:t>
      </w:r>
      <w:bookmarkStart w:id="551" w:name="xdx_908_eus-gaap--ShareBasedCompensation"/>
      <w:bookmarkEnd w:id="551"/>
      <w:r>
        <w:rPr>
          <w:rFonts w:ascii="Times New Roman;Times;Serif" w:hAnsi="Times New Roman;Times;Serif"/>
          <w:b w:val="false"/>
          <w:i w:val="false"/>
          <w:caps w:val="false"/>
          <w:smallCaps w:val="false"/>
          <w:sz w:val="20"/>
        </w:rPr>
        <w:t xml:space="preserve">381,391 shares, as determined by the Plan. During the six months ended June 30, 2026, </w:t>
      </w:r>
      <w:bookmarkStart w:id="552" w:name="xdx_908_eus-gaap--StockIssuedDuringPerio"/>
      <w:bookmarkEnd w:id="552"/>
      <w:r>
        <w:rPr>
          <w:rFonts w:ascii="Times New Roman;Times;Serif" w:hAnsi="Times New Roman;Times;Serif"/>
          <w:b w:val="false"/>
          <w:i w:val="false"/>
          <w:caps w:val="false"/>
          <w:smallCaps w:val="false"/>
          <w:sz w:val="20"/>
        </w:rPr>
        <w:t xml:space="preserve">18,993 shares were purchased under the ESPP and as of June 30, 2026, </w:t>
      </w:r>
      <w:bookmarkStart w:id="553" w:name="xdx_90B_eus-gaap--StockRepurchaseProgram"/>
      <w:bookmarkEnd w:id="553"/>
      <w:r>
        <w:rPr>
          <w:rFonts w:ascii="Times New Roman;Times;Serif" w:hAnsi="Times New Roman;Times;Serif"/>
          <w:b w:val="false"/>
          <w:i w:val="false"/>
          <w:caps w:val="false"/>
          <w:smallCaps w:val="false"/>
          <w:sz w:val="20"/>
        </w:rPr>
        <w:t>1,571,939 shares remain authorized and available for issuance.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554" w:name="xdx_805_eus-gaap--EarningsPerShareTextBl"/>
      <w:bookmarkEnd w:id="554"/>
      <w:r>
        <w:rPr>
          <w:rFonts w:ascii="Times New Roman;Times;Serif" w:hAnsi="Times New Roman;Times;Serif"/>
          <w:b/>
          <w:i w:val="false"/>
          <w:caps w:val="false"/>
          <w:smallCaps w:val="false"/>
          <w:sz w:val="20"/>
        </w:rPr>
        <w:t xml:space="preserve">NOTE 11 – </w:t>
      </w:r>
      <w:bookmarkStart w:id="555" w:name="xdx_822_zIuMqYk75eW8"/>
      <w:bookmarkEnd w:id="555"/>
      <w:r>
        <w:rPr>
          <w:rFonts w:ascii="Times New Roman;Times;Serif" w:hAnsi="Times New Roman;Times;Serif"/>
          <w:b/>
          <w:i w:val="false"/>
          <w:caps w:val="false"/>
          <w:smallCaps w:val="false"/>
          <w:sz w:val="20"/>
        </w:rPr>
        <w:t>NET LOSS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applicable to common stockholders by the weighted average number of outstanding common shares during the period.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56" w:name="xdx_896_eus-gaap--ScheduleOfAntidilutive"/>
      <w:bookmarkEnd w:id="556"/>
      <w:r>
        <w:rPr>
          <w:rFonts w:ascii="Times New Roman;Times;Serif" w:hAnsi="Times New Roman;Times;Serif"/>
          <w:b w:val="false"/>
          <w:i w:val="false"/>
          <w:caps w:val="false"/>
          <w:smallCaps w:val="false"/>
          <w:sz w:val="20"/>
        </w:rPr>
        <w:t>The basic and diluted shares outstanding were the same, as potentially dilutive shares were considered anti-dilutive. The potentially dilutive securities consisted of the following:</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57" w:name="xdx_8B8_zkTxJZTfvXl4"/>
      <w:bookmarkEnd w:id="557"/>
      <w:r>
        <w:rPr>
          <w:rFonts w:ascii="Times New Roman;Times;Serif" w:hAnsi="Times New Roman;Times;Serif"/>
          <w:b w:val="false"/>
          <w:i w:val="false"/>
          <w:caps w:val="false"/>
          <w:smallCaps w:val="false"/>
          <w:sz w:val="20"/>
        </w:rPr>
        <w:t>SCHEDULE OF POTENTIALLY DILUTIVE SECURITIES </w:t>
      </w:r>
    </w:p>
    <w:tbl>
      <w:tblPr>
        <w:tblW w:w="4567" w:type="dxa"/>
        <w:jc w:val="left"/>
        <w:tblInd w:w="0" w:type="dxa"/>
        <w:tblLayout w:type="fixed"/>
        <w:tblCellMar>
          <w:top w:w="0" w:type="dxa"/>
          <w:left w:w="0" w:type="dxa"/>
          <w:bottom w:w="0" w:type="dxa"/>
          <w:right w:w="0" w:type="dxa"/>
        </w:tblCellMar>
      </w:tblPr>
      <w:tblGrid>
        <w:gridCol w:w="1610"/>
        <w:gridCol w:w="60"/>
        <w:gridCol w:w="69"/>
        <w:gridCol w:w="1273"/>
        <w:gridCol w:w="69"/>
        <w:gridCol w:w="69"/>
        <w:gridCol w:w="69"/>
        <w:gridCol w:w="1273"/>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8" w:name="xdx_49C_20260101__20260630_ziwzVWu6r1hk"/>
            <w:bookmarkEnd w:id="558"/>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559" w:name="xdx_496_20250101__20250630_zLOdF3JFRTg2"/>
            <w:bookmarkEnd w:id="559"/>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60" w:name="xdx_40E_eus-gaap--AntidilutiveSecurities"/>
            <w:bookmarkEnd w:id="560"/>
          </w:p>
        </w:tc>
      </w:tr>
      <w:tr>
        <w:trPr/>
        <w:tc>
          <w:tcPr>
            <w:tcW w:w="161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6,987,762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5,353,751</w:t>
            </w:r>
          </w:p>
        </w:tc>
        <w:tc>
          <w:tcPr>
            <w:tcW w:w="75" w:type="dxa"/>
            <w:tcBorders/>
            <w:shd w:fill="CCEEFF" w:val="clear"/>
            <w:vAlign w:val="center"/>
          </w:tcPr>
          <w:p>
            <w:pPr>
              <w:pStyle w:val="TableContents"/>
              <w:bidi w:val="0"/>
              <w:spacing w:before="0" w:after="283"/>
              <w:jc w:val="left"/>
              <w:rPr/>
            </w:pPr>
            <w:r>
              <w:rPr/>
              <w:t> </w:t>
            </w:r>
            <w:bookmarkStart w:id="561" w:name="xdx_405_eus-gaap--AntidilutiveSecurities"/>
            <w:bookmarkEnd w:id="561"/>
          </w:p>
        </w:tc>
      </w:tr>
      <w:tr>
        <w:trPr/>
        <w:tc>
          <w:tcPr>
            <w:tcW w:w="1610" w:type="dxa"/>
            <w:tcBorders/>
            <w:shd w:fill="FFFFFF" w:val="clear"/>
            <w:vAlign w:val="center"/>
          </w:tcPr>
          <w:p>
            <w:pPr>
              <w:pStyle w:val="TableContents"/>
              <w:bidi w:val="0"/>
              <w:spacing w:before="0" w:after="283"/>
              <w:jc w:val="left"/>
              <w:rPr/>
            </w:pPr>
            <w:r>
              <w:rPr/>
              <w:t>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7,753,390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8,017,975</w:t>
            </w:r>
          </w:p>
        </w:tc>
        <w:tc>
          <w:tcPr>
            <w:tcW w:w="75" w:type="dxa"/>
            <w:tcBorders/>
            <w:shd w:fill="FFFFFF" w:val="clear"/>
            <w:vAlign w:val="center"/>
          </w:tcPr>
          <w:p>
            <w:pPr>
              <w:pStyle w:val="TableContents"/>
              <w:bidi w:val="0"/>
              <w:spacing w:before="0" w:after="283"/>
              <w:jc w:val="left"/>
              <w:rPr/>
            </w:pPr>
            <w:r>
              <w:rPr/>
              <w:t> </w:t>
            </w:r>
            <w:bookmarkStart w:id="562" w:name="xdx_408_eus-gaap--AntidilutiveSecurities"/>
            <w:bookmarkEnd w:id="562"/>
          </w:p>
        </w:tc>
      </w:tr>
      <w:tr>
        <w:trPr/>
        <w:tc>
          <w:tcPr>
            <w:tcW w:w="1610" w:type="dxa"/>
            <w:tcBorders/>
            <w:shd w:fill="CCEEFF" w:val="clear"/>
            <w:vAlign w:val="center"/>
          </w:tcPr>
          <w:p>
            <w:pPr>
              <w:pStyle w:val="TableContents"/>
              <w:bidi w:val="0"/>
              <w:spacing w:before="0" w:after="283"/>
              <w:jc w:val="left"/>
              <w:rPr/>
            </w:pPr>
            <w:r>
              <w:rPr/>
              <w:t>RSUs and PSUs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4,128,216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590,377</w:t>
            </w:r>
          </w:p>
        </w:tc>
        <w:tc>
          <w:tcPr>
            <w:tcW w:w="75" w:type="dxa"/>
            <w:tcBorders/>
            <w:shd w:fill="CCEEFF" w:val="clear"/>
            <w:vAlign w:val="center"/>
          </w:tcPr>
          <w:p>
            <w:pPr>
              <w:pStyle w:val="TableContents"/>
              <w:bidi w:val="0"/>
              <w:spacing w:before="0" w:after="283"/>
              <w:jc w:val="left"/>
              <w:rPr/>
            </w:pPr>
            <w:r>
              <w:rPr/>
              <w:t> </w:t>
            </w:r>
            <w:bookmarkStart w:id="563" w:name="xdx_405_eus-gaap--AntidilutiveSecurities"/>
            <w:bookmarkEnd w:id="563"/>
          </w:p>
        </w:tc>
      </w:tr>
      <w:tr>
        <w:trPr/>
        <w:tc>
          <w:tcPr>
            <w:tcW w:w="16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6" w:space="0" w:color="000000"/>
            </w:tcBorders>
            <w:shd w:fill="FFFFFF" w:val="clear"/>
            <w:tcMar>
              <w:bottom w:w="28" w:type="dxa"/>
            </w:tcMar>
            <w:vAlign w:val="center"/>
          </w:tcPr>
          <w:p>
            <w:pPr>
              <w:pStyle w:val="TableContents"/>
              <w:bidi w:val="0"/>
              <w:spacing w:before="0" w:after="283"/>
              <w:jc w:val="right"/>
              <w:rPr/>
            </w:pPr>
            <w:r>
              <w:rPr/>
              <w:t>18,869,368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6" w:space="0" w:color="000000"/>
            </w:tcBorders>
            <w:shd w:fill="FFFFFF" w:val="clear"/>
            <w:tcMar>
              <w:bottom w:w="28" w:type="dxa"/>
            </w:tcMar>
            <w:vAlign w:val="center"/>
          </w:tcPr>
          <w:p>
            <w:pPr>
              <w:pStyle w:val="TableContents"/>
              <w:bidi w:val="0"/>
              <w:spacing w:before="0" w:after="283"/>
              <w:jc w:val="right"/>
              <w:rPr/>
            </w:pPr>
            <w:r>
              <w:rPr/>
              <w:t>13,962,103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64" w:name="xdx_8AC_zZo6xV1bA2ra"/>
      <w:bookmarkEnd w:id="56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5" w:name="xdx_808_eus-gaap--SegmentReportingDisclo"/>
      <w:bookmarkEnd w:id="565"/>
      <w:r>
        <w:rPr>
          <w:rFonts w:ascii="Times New Roman;Times;Serif" w:hAnsi="Times New Roman;Times;Serif"/>
          <w:b/>
          <w:i w:val="false"/>
          <w:caps w:val="false"/>
          <w:smallCaps w:val="false"/>
          <w:sz w:val="20"/>
        </w:rPr>
        <w:t xml:space="preserve">NOTE 12 – </w:t>
      </w:r>
      <w:bookmarkStart w:id="566" w:name="xdx_823_zNZ0XzoMiQf"/>
      <w:bookmarkEnd w:id="566"/>
      <w:r>
        <w:rPr>
          <w:rFonts w:ascii="Times New Roman;Times;Serif" w:hAnsi="Times New Roman;Times;Serif"/>
          <w:b/>
          <w:i w:val="false"/>
          <w:caps w:val="false"/>
          <w:smallCaps w:val="false"/>
          <w:sz w:val="20"/>
        </w:rPr>
        <w:t>SEGMENT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w:t>
      </w:r>
      <w:bookmarkStart w:id="567" w:name="xdx_900_eus-gaap--NumberOfReportableSegm"/>
      <w:bookmarkEnd w:id="567"/>
      <w:r>
        <w:rPr>
          <w:rFonts w:ascii="Times New Roman;Times;Serif" w:hAnsi="Times New Roman;Times;Serif"/>
          <w:b w:val="false"/>
          <w:i w:val="false"/>
          <w:caps w:val="false"/>
          <w:smallCaps w:val="false"/>
          <w:sz w:val="20"/>
        </w:rPr>
        <w:t>one  reportable segment as a clinical stage biopharmaceutical company. The Company’s current focus is on developing oncolytic immunotherapies for the treatment of cancer. Segment profit or loss is measured as the net loss reported in the Company’s condensed statements of operations and comprehensive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serves as the Chief Operating Decision Maker (CODM). The CODM evaluates performance, allocates resources and conducts planning and forecasting using financial information as presented in the condensed statements of operations. In addition, the CODM reviews research and development expenses by program.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68" w:name="xdx_894_eus-gaap--ScheduleOfSegmentRepor"/>
      <w:bookmarkEnd w:id="568"/>
      <w:r>
        <w:rPr>
          <w:rFonts w:ascii="Times New Roman;Times;Serif" w:hAnsi="Times New Roman;Times;Serif"/>
          <w:b w:val="false"/>
          <w:i w:val="false"/>
          <w:caps w:val="false"/>
          <w:smallCaps w:val="false"/>
          <w:sz w:val="20"/>
        </w:rPr>
        <w:t>The table below details the Company’s revenues and expenses and reconciles those amounts to the Company’s net loss as computed under GAAP in the statements of operations and comprehensive loss: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69" w:name="xdx_8BF_zzb3GjkliUA2"/>
      <w:bookmarkEnd w:id="569"/>
      <w:r>
        <w:rPr>
          <w:rFonts w:ascii="Times New Roman;Times;Serif" w:hAnsi="Times New Roman;Times;Serif"/>
          <w:b w:val="false"/>
          <w:i w:val="false"/>
          <w:caps w:val="false"/>
          <w:smallCaps w:val="false"/>
          <w:sz w:val="20"/>
        </w:rPr>
        <w:t>SCHEDULE OF SEGMENT INFORMATION </w:t>
      </w:r>
    </w:p>
    <w:tbl>
      <w:tblPr>
        <w:tblW w:w="7644" w:type="dxa"/>
        <w:jc w:val="left"/>
        <w:tblInd w:w="0" w:type="dxa"/>
        <w:tblLayout w:type="fixed"/>
        <w:tblCellMar>
          <w:top w:w="0" w:type="dxa"/>
          <w:left w:w="0" w:type="dxa"/>
          <w:bottom w:w="0" w:type="dxa"/>
          <w:right w:w="0" w:type="dxa"/>
        </w:tblCellMar>
      </w:tblPr>
      <w:tblGrid>
        <w:gridCol w:w="4385"/>
        <w:gridCol w:w="60"/>
        <w:gridCol w:w="240"/>
        <w:gridCol w:w="1219"/>
        <w:gridCol w:w="103"/>
        <w:gridCol w:w="103"/>
        <w:gridCol w:w="240"/>
        <w:gridCol w:w="1219"/>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0" w:name="xdx_49A_20260401__20260630__us-gaap--Sta"/>
            <w:bookmarkEnd w:id="570"/>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bookmarkStart w:id="571" w:name="xdx_49A_20250401__20250630__us-gaap--Sta"/>
            <w:bookmarkEnd w:id="571"/>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4"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572" w:name="xdx_40A_eus-gaap--RevenueFromContractWit"/>
            <w:bookmarkEnd w:id="572"/>
          </w:p>
        </w:tc>
      </w:tr>
      <w:tr>
        <w:trPr/>
        <w:tc>
          <w:tcPr>
            <w:tcW w:w="43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73" w:name="xdx_408_ecustom--ResearchAndDevelopmentE"/>
            <w:bookmarkEnd w:id="573"/>
          </w:p>
        </w:tc>
      </w:tr>
      <w:tr>
        <w:trPr/>
        <w:tc>
          <w:tcPr>
            <w:tcW w:w="4385" w:type="dxa"/>
            <w:tcBorders/>
            <w:shd w:fill="FFFFFF" w:val="clear"/>
            <w:vAlign w:val="center"/>
          </w:tcPr>
          <w:p>
            <w:pPr>
              <w:pStyle w:val="TableContents"/>
              <w:bidi w:val="0"/>
              <w:spacing w:before="0" w:after="283"/>
              <w:jc w:val="left"/>
              <w:rPr/>
            </w:pPr>
            <w:r>
              <w:rPr/>
              <w:t>Research and development, excluding salaries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4,657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3,113</w:t>
            </w:r>
          </w:p>
        </w:tc>
        <w:tc>
          <w:tcPr>
            <w:tcW w:w="75" w:type="dxa"/>
            <w:tcBorders/>
            <w:shd w:fill="FFFFFF" w:val="clear"/>
            <w:vAlign w:val="center"/>
          </w:tcPr>
          <w:p>
            <w:pPr>
              <w:pStyle w:val="TableContents"/>
              <w:bidi w:val="0"/>
              <w:spacing w:before="0" w:after="283"/>
              <w:jc w:val="left"/>
              <w:rPr/>
            </w:pPr>
            <w:r>
              <w:rPr/>
              <w:t> </w:t>
            </w:r>
            <w:bookmarkStart w:id="574" w:name="xdx_404_eus-gaap--SalariesAndWages_pn3n3"/>
            <w:bookmarkEnd w:id="574"/>
          </w:p>
        </w:tc>
      </w:tr>
      <w:tr>
        <w:trPr/>
        <w:tc>
          <w:tcPr>
            <w:tcW w:w="438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2,052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1,809</w:t>
            </w:r>
          </w:p>
        </w:tc>
        <w:tc>
          <w:tcPr>
            <w:tcW w:w="75" w:type="dxa"/>
            <w:tcBorders/>
            <w:shd w:fill="CCEEFF" w:val="clear"/>
            <w:vAlign w:val="center"/>
          </w:tcPr>
          <w:p>
            <w:pPr>
              <w:pStyle w:val="TableContents"/>
              <w:bidi w:val="0"/>
              <w:spacing w:before="0" w:after="283"/>
              <w:jc w:val="left"/>
              <w:rPr/>
            </w:pPr>
            <w:r>
              <w:rPr/>
              <w:t> </w:t>
            </w:r>
            <w:bookmarkStart w:id="575" w:name="xdx_40C_eus-gaap--InsuranceCommissions_p"/>
            <w:bookmarkEnd w:id="575"/>
          </w:p>
        </w:tc>
      </w:tr>
      <w:tr>
        <w:trPr/>
        <w:tc>
          <w:tcPr>
            <w:tcW w:w="438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176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214</w:t>
            </w:r>
          </w:p>
        </w:tc>
        <w:tc>
          <w:tcPr>
            <w:tcW w:w="75" w:type="dxa"/>
            <w:tcBorders/>
            <w:shd w:fill="FFFFFF" w:val="clear"/>
            <w:vAlign w:val="center"/>
          </w:tcPr>
          <w:p>
            <w:pPr>
              <w:pStyle w:val="TableContents"/>
              <w:bidi w:val="0"/>
              <w:spacing w:before="0" w:after="283"/>
              <w:jc w:val="left"/>
              <w:rPr/>
            </w:pPr>
            <w:r>
              <w:rPr/>
              <w:t> </w:t>
            </w:r>
            <w:bookmarkStart w:id="576" w:name="xdx_402_eus-gaap--EmployeeBenefitsAndSha"/>
            <w:bookmarkEnd w:id="576"/>
          </w:p>
        </w:tc>
      </w:tr>
      <w:tr>
        <w:trPr/>
        <w:tc>
          <w:tcPr>
            <w:tcW w:w="43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2,273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1,482</w:t>
            </w:r>
          </w:p>
        </w:tc>
        <w:tc>
          <w:tcPr>
            <w:tcW w:w="75" w:type="dxa"/>
            <w:tcBorders/>
            <w:shd w:fill="CCEEFF" w:val="clear"/>
            <w:vAlign w:val="center"/>
          </w:tcPr>
          <w:p>
            <w:pPr>
              <w:pStyle w:val="TableContents"/>
              <w:bidi w:val="0"/>
              <w:spacing w:before="0" w:after="283"/>
              <w:jc w:val="left"/>
              <w:rPr/>
            </w:pPr>
            <w:r>
              <w:rPr/>
              <w:t> </w:t>
            </w:r>
            <w:bookmarkStart w:id="577" w:name="xdx_401_eus-gaap--OperatingExpenses_pn3n"/>
            <w:bookmarkEnd w:id="577"/>
          </w:p>
        </w:tc>
      </w:tr>
      <w:tr>
        <w:trPr/>
        <w:tc>
          <w:tcPr>
            <w:tcW w:w="43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487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1,174</w:t>
            </w:r>
          </w:p>
        </w:tc>
        <w:tc>
          <w:tcPr>
            <w:tcW w:w="75" w:type="dxa"/>
            <w:tcBorders/>
            <w:shd w:fill="FFFFFF" w:val="clear"/>
            <w:vAlign w:val="center"/>
          </w:tcPr>
          <w:p>
            <w:pPr>
              <w:pStyle w:val="TableContents"/>
              <w:bidi w:val="0"/>
              <w:spacing w:before="0" w:after="283"/>
              <w:jc w:val="left"/>
              <w:rPr/>
            </w:pPr>
            <w:r>
              <w:rPr/>
              <w:t> </w:t>
            </w:r>
            <w:bookmarkStart w:id="578" w:name="xdx_408_eus-gaap--OperatingIncomeLoss_pn"/>
            <w:bookmarkEnd w:id="578"/>
          </w:p>
        </w:tc>
      </w:tr>
      <w:tr>
        <w:trPr/>
        <w:tc>
          <w:tcPr>
            <w:tcW w:w="438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(9,645)</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(7,792)</w:t>
            </w:r>
          </w:p>
        </w:tc>
        <w:tc>
          <w:tcPr>
            <w:tcW w:w="75" w:type="dxa"/>
            <w:tcBorders/>
            <w:shd w:fill="CCEEFF" w:val="clear"/>
            <w:vAlign w:val="center"/>
          </w:tcPr>
          <w:p>
            <w:pPr>
              <w:pStyle w:val="TableContents"/>
              <w:bidi w:val="0"/>
              <w:spacing w:before="0" w:after="283"/>
              <w:jc w:val="left"/>
              <w:rPr>
                <w:sz w:val="4"/>
                <w:szCs w:val="4"/>
              </w:rPr>
            </w:pPr>
            <w:r>
              <w:rPr>
                <w:sz w:val="4"/>
                <w:szCs w:val="4"/>
              </w:rPr>
            </w:r>
            <w:bookmarkStart w:id="579" w:name="xdx_408_eus-gaap--OtherIncome_pn3n3_zMaB"/>
            <w:bookmarkStart w:id="580" w:name="xdx_408_eus-gaap--OtherIncome_pn3n3_zMaB"/>
            <w:bookmarkEnd w:id="580"/>
          </w:p>
        </w:tc>
      </w:tr>
      <w:tr>
        <w:trPr/>
        <w:tc>
          <w:tcPr>
            <w:tcW w:w="438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103" w:type="dxa"/>
            <w:tcBorders/>
            <w:shd w:fill="FFFFFF" w:val="clear"/>
            <w:vAlign w:val="center"/>
          </w:tcPr>
          <w:p>
            <w:pPr>
              <w:pStyle w:val="TableContents"/>
              <w:bidi w:val="0"/>
              <w:spacing w:before="0" w:after="283"/>
              <w:jc w:val="left"/>
              <w:rPr>
                <w:sz w:val="4"/>
                <w:szCs w:val="4"/>
              </w:rPr>
            </w:pPr>
            <w:r>
              <w:rPr>
                <w:sz w:val="4"/>
                <w:szCs w:val="4"/>
              </w:rPr>
            </w:r>
          </w:p>
        </w:tc>
        <w:tc>
          <w:tcPr>
            <w:tcW w:w="103"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75" w:type="dxa"/>
            <w:tcBorders/>
            <w:shd w:fill="FFFFFF" w:val="clear"/>
            <w:vAlign w:val="center"/>
          </w:tcPr>
          <w:p>
            <w:pPr>
              <w:pStyle w:val="TableContents"/>
              <w:bidi w:val="0"/>
              <w:spacing w:before="0" w:after="283"/>
              <w:jc w:val="left"/>
              <w:rPr>
                <w:sz w:val="4"/>
                <w:szCs w:val="4"/>
              </w:rPr>
            </w:pPr>
            <w:r>
              <w:rPr>
                <w:sz w:val="4"/>
                <w:szCs w:val="4"/>
              </w:rPr>
            </w:r>
            <w:bookmarkStart w:id="581" w:name="xdx_402_eus-gaap--NetIncomeLoss_pn3n3_zW"/>
            <w:bookmarkStart w:id="582" w:name="xdx_402_eus-gaap--NetIncomeLoss_pn3n3_zW"/>
            <w:bookmarkEnd w:id="582"/>
          </w:p>
        </w:tc>
      </w:tr>
      <w:tr>
        <w:trPr/>
        <w:tc>
          <w:tcPr>
            <w:tcW w:w="43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(9,471)</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(7,456)</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7342" w:type="dxa"/>
        <w:jc w:val="left"/>
        <w:tblInd w:w="0" w:type="dxa"/>
        <w:tblLayout w:type="fixed"/>
        <w:tblCellMar>
          <w:top w:w="0" w:type="dxa"/>
          <w:left w:w="0" w:type="dxa"/>
          <w:bottom w:w="0" w:type="dxa"/>
          <w:right w:w="0" w:type="dxa"/>
        </w:tblCellMar>
      </w:tblPr>
      <w:tblGrid>
        <w:gridCol w:w="4385"/>
        <w:gridCol w:w="60"/>
        <w:gridCol w:w="191"/>
        <w:gridCol w:w="1138"/>
        <w:gridCol w:w="82"/>
        <w:gridCol w:w="82"/>
        <w:gridCol w:w="191"/>
        <w:gridCol w:w="1138"/>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3" w:name="xdx_49A_20260101__20260630__us-gaap--Sta"/>
            <w:bookmarkEnd w:id="583"/>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584" w:name="xdx_498_20250101__20250630__us-gaap--Sta"/>
            <w:bookmarkEnd w:id="584"/>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585" w:name="xdx_40A_eus-gaap--RevenueFromContractWit"/>
            <w:bookmarkEnd w:id="585"/>
          </w:p>
        </w:tc>
      </w:tr>
      <w:tr>
        <w:trPr/>
        <w:tc>
          <w:tcPr>
            <w:tcW w:w="43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86" w:name="xdx_408_ecustom--ResearchAndDevelopmentE"/>
            <w:bookmarkEnd w:id="586"/>
          </w:p>
        </w:tc>
      </w:tr>
      <w:tr>
        <w:trPr/>
        <w:tc>
          <w:tcPr>
            <w:tcW w:w="4385" w:type="dxa"/>
            <w:tcBorders/>
            <w:shd w:fill="FFFFFF" w:val="clear"/>
            <w:vAlign w:val="center"/>
          </w:tcPr>
          <w:p>
            <w:pPr>
              <w:pStyle w:val="TableContents"/>
              <w:bidi w:val="0"/>
              <w:spacing w:before="0" w:after="283"/>
              <w:jc w:val="left"/>
              <w:rPr/>
            </w:pPr>
            <w:r>
              <w:rPr/>
              <w:t>Research and development, excluding salaries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8,449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6,485</w:t>
            </w:r>
          </w:p>
        </w:tc>
        <w:tc>
          <w:tcPr>
            <w:tcW w:w="75" w:type="dxa"/>
            <w:tcBorders/>
            <w:shd w:fill="FFFFFF" w:val="clear"/>
            <w:vAlign w:val="center"/>
          </w:tcPr>
          <w:p>
            <w:pPr>
              <w:pStyle w:val="TableContents"/>
              <w:bidi w:val="0"/>
              <w:spacing w:before="0" w:after="283"/>
              <w:jc w:val="left"/>
              <w:rPr/>
            </w:pPr>
            <w:r>
              <w:rPr/>
              <w:t> </w:t>
            </w:r>
            <w:bookmarkStart w:id="587" w:name="xdx_404_eus-gaap--SalariesAndWages_pn3n3"/>
            <w:bookmarkEnd w:id="587"/>
          </w:p>
        </w:tc>
      </w:tr>
      <w:tr>
        <w:trPr/>
        <w:tc>
          <w:tcPr>
            <w:tcW w:w="438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4,122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3,303</w:t>
            </w:r>
          </w:p>
        </w:tc>
        <w:tc>
          <w:tcPr>
            <w:tcW w:w="75" w:type="dxa"/>
            <w:tcBorders/>
            <w:shd w:fill="CCEEFF" w:val="clear"/>
            <w:vAlign w:val="center"/>
          </w:tcPr>
          <w:p>
            <w:pPr>
              <w:pStyle w:val="TableContents"/>
              <w:bidi w:val="0"/>
              <w:spacing w:before="0" w:after="283"/>
              <w:jc w:val="left"/>
              <w:rPr/>
            </w:pPr>
            <w:r>
              <w:rPr/>
              <w:t> </w:t>
            </w:r>
            <w:bookmarkStart w:id="588" w:name="xdx_40C_eus-gaap--InsuranceCommissions_p"/>
            <w:bookmarkEnd w:id="588"/>
          </w:p>
        </w:tc>
      </w:tr>
      <w:tr>
        <w:trPr/>
        <w:tc>
          <w:tcPr>
            <w:tcW w:w="438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447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432</w:t>
            </w:r>
          </w:p>
        </w:tc>
        <w:tc>
          <w:tcPr>
            <w:tcW w:w="75" w:type="dxa"/>
            <w:tcBorders/>
            <w:shd w:fill="FFFFFF" w:val="clear"/>
            <w:vAlign w:val="center"/>
          </w:tcPr>
          <w:p>
            <w:pPr>
              <w:pStyle w:val="TableContents"/>
              <w:bidi w:val="0"/>
              <w:spacing w:before="0" w:after="283"/>
              <w:jc w:val="left"/>
              <w:rPr/>
            </w:pPr>
            <w:r>
              <w:rPr/>
              <w:t> </w:t>
            </w:r>
            <w:bookmarkStart w:id="589" w:name="xdx_407_eus-gaap--EmployeeBenefitsAndSha"/>
            <w:bookmarkEnd w:id="589"/>
          </w:p>
        </w:tc>
      </w:tr>
      <w:tr>
        <w:trPr/>
        <w:tc>
          <w:tcPr>
            <w:tcW w:w="43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4,055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3,014</w:t>
            </w:r>
          </w:p>
        </w:tc>
        <w:tc>
          <w:tcPr>
            <w:tcW w:w="75" w:type="dxa"/>
            <w:tcBorders/>
            <w:shd w:fill="CCEEFF" w:val="clear"/>
            <w:vAlign w:val="center"/>
          </w:tcPr>
          <w:p>
            <w:pPr>
              <w:pStyle w:val="TableContents"/>
              <w:bidi w:val="0"/>
              <w:spacing w:before="0" w:after="283"/>
              <w:jc w:val="left"/>
              <w:rPr/>
            </w:pPr>
            <w:r>
              <w:rPr/>
              <w:t> </w:t>
            </w:r>
            <w:bookmarkStart w:id="590" w:name="xdx_401_eus-gaap--OperatingExpenses_pn3n"/>
            <w:bookmarkEnd w:id="590"/>
          </w:p>
        </w:tc>
      </w:tr>
      <w:tr>
        <w:trPr/>
        <w:tc>
          <w:tcPr>
            <w:tcW w:w="43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1,743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2,374</w:t>
            </w:r>
          </w:p>
        </w:tc>
        <w:tc>
          <w:tcPr>
            <w:tcW w:w="75" w:type="dxa"/>
            <w:tcBorders/>
            <w:shd w:fill="FFFFFF" w:val="clear"/>
            <w:vAlign w:val="center"/>
          </w:tcPr>
          <w:p>
            <w:pPr>
              <w:pStyle w:val="TableContents"/>
              <w:bidi w:val="0"/>
              <w:spacing w:before="0" w:after="283"/>
              <w:jc w:val="left"/>
              <w:rPr/>
            </w:pPr>
            <w:r>
              <w:rPr/>
              <w:t> </w:t>
            </w:r>
            <w:bookmarkStart w:id="591" w:name="xdx_408_eus-gaap--OperatingIncomeLoss_pn"/>
            <w:bookmarkEnd w:id="591"/>
          </w:p>
        </w:tc>
      </w:tr>
      <w:tr>
        <w:trPr/>
        <w:tc>
          <w:tcPr>
            <w:tcW w:w="438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(18,816)</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(15,608)</w:t>
            </w:r>
          </w:p>
        </w:tc>
        <w:tc>
          <w:tcPr>
            <w:tcW w:w="75" w:type="dxa"/>
            <w:tcBorders/>
            <w:shd w:fill="CCEEFF" w:val="clear"/>
            <w:vAlign w:val="center"/>
          </w:tcPr>
          <w:p>
            <w:pPr>
              <w:pStyle w:val="TableContents"/>
              <w:bidi w:val="0"/>
              <w:spacing w:before="0" w:after="283"/>
              <w:jc w:val="left"/>
              <w:rPr>
                <w:sz w:val="4"/>
                <w:szCs w:val="4"/>
              </w:rPr>
            </w:pPr>
            <w:r>
              <w:rPr>
                <w:sz w:val="4"/>
                <w:szCs w:val="4"/>
              </w:rPr>
            </w:r>
            <w:bookmarkStart w:id="592" w:name="xdx_408_eus-gaap--OtherIncome_pn3n3_zQsJ"/>
            <w:bookmarkStart w:id="593" w:name="xdx_408_eus-gaap--OtherIncome_pn3n3_zQsJ"/>
            <w:bookmarkEnd w:id="593"/>
          </w:p>
        </w:tc>
      </w:tr>
      <w:tr>
        <w:trPr/>
        <w:tc>
          <w:tcPr>
            <w:tcW w:w="438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82" w:type="dxa"/>
            <w:tcBorders/>
            <w:shd w:fill="FFFFFF" w:val="clear"/>
            <w:vAlign w:val="center"/>
          </w:tcPr>
          <w:p>
            <w:pPr>
              <w:pStyle w:val="TableContents"/>
              <w:bidi w:val="0"/>
              <w:spacing w:before="0" w:after="283"/>
              <w:jc w:val="left"/>
              <w:rPr>
                <w:sz w:val="4"/>
                <w:szCs w:val="4"/>
              </w:rPr>
            </w:pPr>
            <w:r>
              <w:rPr>
                <w:sz w:val="4"/>
                <w:szCs w:val="4"/>
              </w:rPr>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660</w:t>
            </w:r>
          </w:p>
        </w:tc>
        <w:tc>
          <w:tcPr>
            <w:tcW w:w="75" w:type="dxa"/>
            <w:tcBorders/>
            <w:shd w:fill="FFFFFF" w:val="clear"/>
            <w:vAlign w:val="center"/>
          </w:tcPr>
          <w:p>
            <w:pPr>
              <w:pStyle w:val="TableContents"/>
              <w:bidi w:val="0"/>
              <w:spacing w:before="0" w:after="283"/>
              <w:jc w:val="left"/>
              <w:rPr>
                <w:sz w:val="4"/>
                <w:szCs w:val="4"/>
              </w:rPr>
            </w:pPr>
            <w:r>
              <w:rPr>
                <w:sz w:val="4"/>
                <w:szCs w:val="4"/>
              </w:rPr>
            </w:r>
            <w:bookmarkStart w:id="594" w:name="xdx_402_eus-gaap--NetIncomeLoss_pn3n3_zF"/>
            <w:bookmarkStart w:id="595" w:name="xdx_402_eus-gaap--NetIncomeLoss_pn3n3_zF"/>
            <w:bookmarkEnd w:id="595"/>
          </w:p>
        </w:tc>
      </w:tr>
      <w:tr>
        <w:trPr/>
        <w:tc>
          <w:tcPr>
            <w:tcW w:w="43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(18,399)</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(14,948)</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596" w:name="xdx_8AB_zN6ZAaxCloyi"/>
      <w:bookmarkEnd w:id="596"/>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97" w:name="xdx_804_eus-gaap--SubsequentEventsTextBl"/>
      <w:bookmarkEnd w:id="597"/>
      <w:r>
        <w:rPr>
          <w:rFonts w:ascii="Times New Roman;Times;Serif" w:hAnsi="Times New Roman;Times;Serif"/>
          <w:b/>
          <w:i w:val="false"/>
          <w:caps w:val="false"/>
          <w:smallCaps w:val="false"/>
          <w:sz w:val="20"/>
        </w:rPr>
        <w:t xml:space="preserve">NOTE 13 – </w:t>
      </w:r>
      <w:bookmarkStart w:id="598" w:name="xdx_82E_znudlu5N2IH6"/>
      <w:bookmarkEnd w:id="59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2026, </w:t>
      </w:r>
      <w:bookmarkStart w:id="599" w:name="xdx_90B_eus-gaap--SaleOfStockNumberOfSha"/>
      <w:bookmarkEnd w:id="599"/>
      <w:r>
        <w:rPr>
          <w:rFonts w:ascii="Times New Roman;Times;Serif" w:hAnsi="Times New Roman;Times;Serif"/>
          <w:b w:val="false"/>
          <w:i w:val="false"/>
          <w:caps w:val="false"/>
          <w:smallCaps w:val="false"/>
          <w:sz w:val="20"/>
        </w:rPr>
        <w:t>105,000 shares of common stock were sold to an existing stockholder under an “at-the-market” offering program pursuant to the Company’s sales agreement (ATM Agreement) with TD Securities (USA) LLC, and the Company received net proceeds of $</w:t>
      </w:r>
      <w:bookmarkStart w:id="600" w:name="xdx_903_eus-gaap--ProceedsFromIssuanceOf"/>
      <w:bookmarkEnd w:id="600"/>
      <w:r>
        <w:rPr>
          <w:rFonts w:ascii="Times New Roman;Times;Serif" w:hAnsi="Times New Roman;Times;Serif"/>
          <w:b w:val="false"/>
          <w:i w:val="false"/>
          <w:caps w:val="false"/>
          <w:smallCaps w:val="false"/>
          <w:sz w:val="20"/>
        </w:rPr>
        <w:t>0.3 million, after deducting discounts and commissions and other offering expenses.</w:t>
      </w:r>
    </w:p>
    <w:p>
      <w:pPr>
        <w:pStyle w:val="TextBody"/>
        <w:bidi w:val="0"/>
        <w:spacing w:before="0" w:after="0"/>
        <w:ind w:left="0" w:right="0" w:hanging="0"/>
        <w:jc w:val="left"/>
        <w:rPr>
          <w:caps w:val="false"/>
          <w:smallCaps w:val="false"/>
        </w:rPr>
      </w:pPr>
      <w:bookmarkStart w:id="601" w:name="xdx_81A_zqfz2VApM8v7"/>
      <w:bookmarkEnd w:id="60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2" w:name="sh_001"/>
      <w:bookmarkEnd w:id="60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 financial statements of Genelux Corporation (Genelux, Company, we, us, or our) and accompanying notes included in this Quarterly Report on Form 10-Q (Quarterly Report) and the financial statements and accompanying notes thereto for the year ended December 31, 2025 and the related Management’s Discussion and Analysis of Financial Condition and Results of Operations, both of which are contained in our Annual Report on Form 10-K, for the fiscal year ended December 31, 2025. See also “Special Note Regarding Forward-Looking Statements”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Genelux is a late clinical-stage biopharmaceutical company focused on developing next-generation oncolytic viral immunotherapies for patients suffering from aggressive and/or difficult-to-treat tumor types. Our clinical and preclinical product candidates are intended to selectively kill tumor cells and induce a robust immune response against a patient’s tumor neoantigens. Importantly, our oncolytic immunotherapy product candidates are “off-the-shelf” personalized immunotherapies. In other words, while we administer the same virus product to different patients, the cellular immune response generated is expected to be specific to the unique neoantigens in that patient. Our lead product candidate, Olvi-Vec (olvimulogene nanivacirepvec), is a proprietary, modified strain of the vaccinia virus (VACV), a stable DNA virus with a large engineering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Employing our proprietary selection technology and discovery and development platform (CHOICE), we have developed an extensive library of isolated and engineered oncolytic VACV immunotherapeutic product candidates. These provide potential utility in multiple tumor types in both the monotherapy and combination therapy settings, via physician-preferred administration techniques, including regional (e.g., intraperitoneal), local and systemic (e.g., intravenous) delivery routes. Informed by our CHOICE platform and supported by extensive clinical and preclinical data, we believe we have the capacity to develop a pipeline of treatment options to address high unmet medical needs for those patients with insignificant or unsatisfactory responses to standard-of-care therapies, including chemotherapies.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Our net losses were $18.4 million and $14.9 million for the six months ended June 30, 2026, and 2025, respectively. As of June 30, 2026, we had an accumulated deficit of $301.9 million.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commercially approved product sales unless and until we successfully complete clinical development and obtain regulatory approval for our product candidates.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require substantial additional funding to support our continuing operations and to pursue our growth strategy. Until we generate significant revenue from product sales, if ever, we expect to finance our operations through a combination of public or private equity offerings, which may include sales under the ATM Agreement, debt and/or other sources, such as milestone payments, royalties or other payments or funding from existing or potential collaboration agreements, strategic alliances, licensing arrangements and other arrangements. We may be unable to raise additional funds or enter into such other agreements or arrangements when needed on acceptable terms, or at all. Failure to raise capital or enter into such agreements as and when needed, could have a material adverse effect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an underwritten offering of 6,666,667 shares of our common stock at an offering price of $3.00 per share. The net proceeds received from the offering were $18.5 million, after deducting underwriting discounts and commissions and offering expenses payable by us. In the second quarter of 2026, we sold 120,087 shares of our common stock to an existing stockholder under an “at-the-market” offering program pursuant to our sales agreement (ATM Agreement) with TD Securities (USA) LLC. The net proceeds received from such sales were $0.3 million after deducting discounts and commissions and other offering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funds received through these sales under the ATM Agreement and the offering, we had stockholders’ equity of $16.1 million at June 30, 2026. We expect our cash, cash equivalents, restricted cash and marketable securities, totaling $18.7 million at June 30, 2026, to last into the first quarter of 2027.</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we announced the publication of translational and clinical findings from our Phase 1b/2 VIRO-15 trial of Olvi-Vec-primed immunochemotherapy in heavily pretreated patients with platinum-resistant/refractory ovarian cancer. The data were presented in </w:t>
      </w:r>
      <w:r>
        <w:rPr>
          <w:rFonts w:ascii="Times New Roman;Times;Serif" w:hAnsi="Times New Roman;Times;Serif"/>
          <w:b w:val="false"/>
          <w:i/>
          <w:caps w:val="false"/>
          <w:smallCaps w:val="false"/>
          <w:sz w:val="20"/>
        </w:rPr>
        <w:t>Gynecologic Oncology Reports</w:t>
      </w:r>
      <w:r>
        <w:rPr>
          <w:rFonts w:ascii="Times New Roman;Times;Serif" w:hAnsi="Times New Roman;Times;Serif"/>
          <w:b w:val="false"/>
          <w:i w:val="false"/>
          <w:caps w:val="false"/>
          <w:smallCaps w:val="false"/>
          <w:sz w:val="20"/>
        </w:rPr>
        <w:t>, a peer-reviewed journal. The publication reports data from translational analyses conducted as part of the Phase 1b/2 VIRO-15 study in patients with PRROC, evaluating the biological effects of Olvi-Vec on the tumor microenvironment and its impact on clinical response and survival. The clinical results are consistent with preclinical results generated by us with Olvi-Vec showing in vitro viral permissivity and tumor vulnerability and the effect of Olvi-Vec primed immunochemotherapy in a mouse model of platinum-resistant ovarian cancer.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Sales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we sold 120,087 shares of our common stock to an existing stockholder under an “at-the-market” offering program pursuant to the ATM Agreement. The net proceeds received from such sales were $0.3 million, after deducting commissions.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was recognized during the six months ended June 30, 2026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general and administrative expenses.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for our research and development activities, including our product candidate discovery efforts and preclinical and clinical studies under our research programs, which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for our research and development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funding research performed by third parties that conduct research and development and preclinical and clinical activities on our behalf;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manufacturing drug product and drug supply related to our current or future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conducting preclinical studies and clinical trials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professional fees related to research and development activities, including equity-based compensation to non-employees;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maintaining our laboratory, including laboratory supplies and non-capital equipment used in our preclinical studies;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clinical regulatory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costs and other allocated expenses, which include rent and maintenance of facilities, insurance, depreciation, and other supplies.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 Significant judgment and estimates are made in determining the accrued expense balances at the end of any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expenses of our ongoing research activities as well as any preclinical studies and clinical trials and other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in and completion of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our product candidates show safety and efficacy in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capabilities or making arrangements with third-party manufacturers;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our product candidates;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product candidates, if and when approved, whether alone or in collaboration with others;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products following any regulatory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current and future product candidates would significantly change the costs and timing associated with the development of those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and conduct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salaries and other compensation-related costs, including stock-based compensation, for personnel in executive, finance, business development, operations and administrative roles. Other significant costs include professional service and consulting fees, including legal fees relating to intellectual property and corporate matters, accounting and recruiting fees and fees paid to consultants engaged to supplement our personnel as well as insurance, travel, and office-related costs not included in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our business expands to support expected growth in research and development activities, including our future clinical programs. These increases are expected to result primarily from higher personnel-related costs associated with hiring additional personnel and increased fees paid to outside service providers, among other expenses. We also anticipate incurring additional expenses associated with operating as a public company, including audit, legal, regulatory and tax-related costs to comply with the rules and regulations of the U.S. Securities and Exchange Commission (the SEC), and listing standards applicable to companies listed on a national securities exchange, increased director and officer insurance premiums, and investor relations costs. In addition, if we obtain regulatory approval for any of our product candidates and do not enter into a third-party commercialization collaboration, we expect to incur significant additional costs related to establishing sales, marketing and distribution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indicated (in thousands):</w:t>
      </w:r>
    </w:p>
    <w:p>
      <w:pPr>
        <w:pStyle w:val="TextBody"/>
        <w:bidi w:val="0"/>
        <w:spacing w:before="0" w:after="0"/>
        <w:ind w:left="0" w:right="0" w:hanging="0"/>
        <w:jc w:val="center"/>
        <w:rPr>
          <w:caps w:val="false"/>
          <w:smallCaps w:val="false"/>
        </w:rPr>
      </w:pPr>
      <w:r>
        <w:rPr>
          <w:caps w:val="false"/>
          <w:smallCaps w:val="false"/>
        </w:rPr>
        <w:t> </w:t>
      </w:r>
    </w:p>
    <w:tbl>
      <w:tblPr>
        <w:tblW w:w="6846" w:type="dxa"/>
        <w:jc w:val="left"/>
        <w:tblInd w:w="0" w:type="dxa"/>
        <w:tblLayout w:type="fixed"/>
        <w:tblCellMar>
          <w:top w:w="0" w:type="dxa"/>
          <w:left w:w="0" w:type="dxa"/>
          <w:bottom w:w="0" w:type="dxa"/>
          <w:right w:w="0" w:type="dxa"/>
        </w:tblCellMar>
      </w:tblPr>
      <w:tblGrid>
        <w:gridCol w:w="2585"/>
        <w:gridCol w:w="60"/>
        <w:gridCol w:w="256"/>
        <w:gridCol w:w="1163"/>
        <w:gridCol w:w="174"/>
        <w:gridCol w:w="109"/>
        <w:gridCol w:w="256"/>
        <w:gridCol w:w="1163"/>
        <w:gridCol w:w="95"/>
        <w:gridCol w:w="60"/>
        <w:gridCol w:w="147"/>
        <w:gridCol w:w="668"/>
        <w:gridCol w:w="110"/>
      </w:tblGrid>
      <w:tr>
        <w:trPr/>
        <w:tc>
          <w:tcPr>
            <w:tcW w:w="2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4"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6,508</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4,758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1,750</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3,137</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3,034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9,645</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7,792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1,853</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Operating loss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(9,645</w:t>
            </w:r>
          </w:p>
        </w:tc>
        <w:tc>
          <w:tcPr>
            <w:tcW w:w="174"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(7,792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(1,853</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127</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(97</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both"/>
              <w:rPr/>
            </w:pPr>
            <w:r>
              <w:rPr/>
              <w:t>Bond accretion income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(65</w:t>
            </w:r>
          </w:p>
        </w:tc>
        <w:tc>
          <w:tcPr>
            <w:tcW w:w="11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both"/>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(9,471</w:t>
            </w:r>
          </w:p>
        </w:tc>
        <w:tc>
          <w:tcPr>
            <w:tcW w:w="174" w:type="dxa"/>
            <w:tcBorders/>
            <w:shd w:fill="CCEEFF" w:val="clear"/>
            <w:vAlign w:val="center"/>
          </w:tcPr>
          <w:p>
            <w:pPr>
              <w:pStyle w:val="TableContents"/>
              <w:bidi w:val="0"/>
              <w:spacing w:before="0" w:after="283"/>
              <w:jc w:val="left"/>
              <w:rPr>
                <w:b/>
              </w:rPr>
            </w:pPr>
            <w:r>
              <w:rPr>
                <w:b/>
              </w:rPr>
              <w:t>)</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(2,015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(R&amp;D)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43"/>
        <w:gridCol w:w="60"/>
        <w:gridCol w:w="253"/>
        <w:gridCol w:w="1016"/>
        <w:gridCol w:w="108"/>
        <w:gridCol w:w="108"/>
        <w:gridCol w:w="253"/>
        <w:gridCol w:w="1016"/>
        <w:gridCol w:w="60"/>
        <w:gridCol w:w="60"/>
        <w:gridCol w:w="163"/>
        <w:gridCol w:w="652"/>
        <w:gridCol w:w="113"/>
      </w:tblGrid>
      <w:tr>
        <w:trPr/>
        <w:tc>
          <w:tcPr>
            <w:tcW w:w="6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center"/>
              <w:rPr/>
            </w:pPr>
            <w:r>
              <w:rPr/>
              <w:t> </w:t>
            </w:r>
          </w:p>
        </w:tc>
      </w:tr>
      <w:tr>
        <w:trPr/>
        <w:tc>
          <w:tcPr>
            <w:tcW w:w="63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center"/>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3" w:type="dxa"/>
            <w:tcBorders/>
            <w:vAlign w:val="center"/>
          </w:tcPr>
          <w:p>
            <w:pPr>
              <w:pStyle w:val="TableContents"/>
              <w:bidi w:val="0"/>
              <w:spacing w:before="0" w:after="283"/>
              <w:jc w:val="left"/>
              <w:rPr/>
            </w:pPr>
            <w:r>
              <w:rPr/>
              <w:t> </w:t>
            </w:r>
          </w:p>
        </w:tc>
      </w:tr>
      <w:tr>
        <w:trPr/>
        <w:tc>
          <w:tcPr>
            <w:tcW w:w="6343" w:type="dxa"/>
            <w:tcBorders/>
            <w:shd w:fill="CCEEFF" w:val="clear"/>
            <w:vAlign w:val="center"/>
          </w:tcPr>
          <w:p>
            <w:pPr>
              <w:pStyle w:val="TableContents"/>
              <w:bidi w:val="0"/>
              <w:spacing w:before="0" w:after="283"/>
              <w:jc w:val="left"/>
              <w:rPr/>
            </w:pPr>
            <w:r>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1,179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1,034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145</w:t>
            </w:r>
          </w:p>
        </w:tc>
        <w:tc>
          <w:tcPr>
            <w:tcW w:w="113" w:type="dxa"/>
            <w:tcBorders/>
            <w:shd w:fill="CCEEFF" w:val="clear"/>
            <w:vAlign w:val="center"/>
          </w:tcPr>
          <w:p>
            <w:pPr>
              <w:pStyle w:val="TableContents"/>
              <w:bidi w:val="0"/>
              <w:spacing w:before="0" w:after="283"/>
              <w:jc w:val="left"/>
              <w:rPr/>
            </w:pPr>
            <w:r>
              <w:rPr/>
              <w:t> </w:t>
            </w:r>
          </w:p>
        </w:tc>
      </w:tr>
      <w:tr>
        <w:trPr/>
        <w:tc>
          <w:tcPr>
            <w:tcW w:w="6343" w:type="dxa"/>
            <w:tcBorders/>
            <w:shd w:fill="FFFFFF" w:val="clear"/>
            <w:vAlign w:val="center"/>
          </w:tcPr>
          <w:p>
            <w:pPr>
              <w:pStyle w:val="TableContents"/>
              <w:bidi w:val="0"/>
              <w:spacing w:before="0" w:after="283"/>
              <w:jc w:val="left"/>
              <w:rPr/>
            </w:pPr>
            <w:r>
              <w:rPr/>
              <w:t>Stock compensation, including the cost of stock options and restricted stock grants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875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263</w:t>
            </w:r>
          </w:p>
        </w:tc>
        <w:tc>
          <w:tcPr>
            <w:tcW w:w="113" w:type="dxa"/>
            <w:tcBorders/>
            <w:shd w:fill="FFFFFF" w:val="clear"/>
            <w:vAlign w:val="center"/>
          </w:tcPr>
          <w:p>
            <w:pPr>
              <w:pStyle w:val="TableContents"/>
              <w:bidi w:val="0"/>
              <w:spacing w:before="0" w:after="283"/>
              <w:jc w:val="left"/>
              <w:rPr/>
            </w:pPr>
            <w:r>
              <w:rPr/>
              <w:t> </w:t>
            </w:r>
          </w:p>
        </w:tc>
      </w:tr>
      <w:tr>
        <w:trPr/>
        <w:tc>
          <w:tcPr>
            <w:tcW w:w="6343" w:type="dxa"/>
            <w:tcBorders/>
            <w:shd w:fill="CCEEFF" w:val="clear"/>
            <w:vAlign w:val="center"/>
          </w:tcPr>
          <w:p>
            <w:pPr>
              <w:pStyle w:val="TableContents"/>
              <w:bidi w:val="0"/>
              <w:spacing w:before="0" w:after="283"/>
              <w:jc w:val="left"/>
              <w:rPr/>
            </w:pPr>
            <w:r>
              <w:rPr/>
              <w:t>Manufacturing and laboratory materials and other expenses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127</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(315</w:t>
            </w:r>
          </w:p>
        </w:tc>
        <w:tc>
          <w:tcPr>
            <w:tcW w:w="113" w:type="dxa"/>
            <w:tcBorders/>
            <w:shd w:fill="CCEEFF" w:val="clear"/>
            <w:vAlign w:val="center"/>
          </w:tcPr>
          <w:p>
            <w:pPr>
              <w:pStyle w:val="TableContents"/>
              <w:bidi w:val="0"/>
              <w:spacing w:before="0" w:after="283"/>
              <w:jc w:val="left"/>
              <w:rPr/>
            </w:pPr>
            <w:r>
              <w:rPr/>
              <w:t>)</w:t>
            </w:r>
          </w:p>
        </w:tc>
      </w:tr>
      <w:tr>
        <w:trPr/>
        <w:tc>
          <w:tcPr>
            <w:tcW w:w="6343" w:type="dxa"/>
            <w:tcBorders/>
            <w:shd w:fill="FFFFFF" w:val="clear"/>
            <w:vAlign w:val="center"/>
          </w:tcPr>
          <w:p>
            <w:pPr>
              <w:pStyle w:val="TableContents"/>
              <w:bidi w:val="0"/>
              <w:spacing w:before="0" w:after="283"/>
              <w:jc w:val="left"/>
              <w:rPr/>
            </w:pPr>
            <w:r>
              <w:rPr/>
              <w:t>Manufacturing quality services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104</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w:t>
            </w:r>
          </w:p>
        </w:tc>
      </w:tr>
      <w:tr>
        <w:trPr/>
        <w:tc>
          <w:tcPr>
            <w:tcW w:w="6343" w:type="dxa"/>
            <w:tcBorders/>
            <w:shd w:fill="CCEEFF" w:val="clear"/>
            <w:vAlign w:val="center"/>
          </w:tcPr>
          <w:p>
            <w:pPr>
              <w:pStyle w:val="TableContents"/>
              <w:bidi w:val="0"/>
              <w:spacing w:before="0" w:after="283"/>
              <w:jc w:val="left"/>
              <w:rPr/>
            </w:pPr>
            <w:r>
              <w:rPr/>
              <w:t>Clinical and regulatory expenses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4,031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2,031</w:t>
            </w:r>
          </w:p>
        </w:tc>
        <w:tc>
          <w:tcPr>
            <w:tcW w:w="113" w:type="dxa"/>
            <w:tcBorders/>
            <w:shd w:fill="CCEEFF" w:val="clear"/>
            <w:vAlign w:val="center"/>
          </w:tcPr>
          <w:p>
            <w:pPr>
              <w:pStyle w:val="TableContents"/>
              <w:bidi w:val="0"/>
              <w:spacing w:before="0" w:after="283"/>
              <w:jc w:val="left"/>
              <w:rPr/>
            </w:pPr>
            <w:r>
              <w:rPr/>
              <w:t> </w:t>
            </w:r>
          </w:p>
        </w:tc>
      </w:tr>
      <w:tr>
        <w:trPr/>
        <w:tc>
          <w:tcPr>
            <w:tcW w:w="6343" w:type="dxa"/>
            <w:tcBorders/>
            <w:shd w:fill="FFFFFF" w:val="clear"/>
            <w:vAlign w:val="center"/>
          </w:tcPr>
          <w:p>
            <w:pPr>
              <w:pStyle w:val="TableContents"/>
              <w:bidi w:val="0"/>
              <w:spacing w:before="0" w:after="283"/>
              <w:jc w:val="left"/>
              <w:rPr/>
            </w:pPr>
            <w:r>
              <w:rPr/>
              <w:t>Facility-related expenses, including depreciation</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121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(71</w:t>
            </w:r>
          </w:p>
        </w:tc>
        <w:tc>
          <w:tcPr>
            <w:tcW w:w="113" w:type="dxa"/>
            <w:tcBorders/>
            <w:shd w:fill="FFFFFF" w:val="clear"/>
            <w:vAlign w:val="center"/>
          </w:tcPr>
          <w:p>
            <w:pPr>
              <w:pStyle w:val="TableContents"/>
              <w:bidi w:val="0"/>
              <w:spacing w:before="0" w:after="283"/>
              <w:jc w:val="left"/>
              <w:rPr/>
            </w:pPr>
            <w:r>
              <w:rPr/>
              <w:t>)</w:t>
            </w:r>
          </w:p>
        </w:tc>
      </w:tr>
      <w:tr>
        <w:trPr/>
        <w:tc>
          <w:tcPr>
            <w:tcW w:w="6343" w:type="dxa"/>
            <w:tcBorders/>
            <w:shd w:fill="CCEEFF" w:val="clear"/>
            <w:vAlign w:val="center"/>
          </w:tcPr>
          <w:p>
            <w:pPr>
              <w:pStyle w:val="TableContents"/>
              <w:bidi w:val="0"/>
              <w:spacing w:before="0" w:after="283"/>
              <w:jc w:val="left"/>
              <w:rPr/>
            </w:pPr>
            <w:r>
              <w:rPr/>
              <w:t>Consulting expenses and contract labor</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(35</w:t>
            </w:r>
          </w:p>
        </w:tc>
        <w:tc>
          <w:tcPr>
            <w:tcW w:w="113" w:type="dxa"/>
            <w:tcBorders/>
            <w:shd w:fill="CCEEFF" w:val="clear"/>
            <w:vAlign w:val="center"/>
          </w:tcPr>
          <w:p>
            <w:pPr>
              <w:pStyle w:val="TableContents"/>
              <w:bidi w:val="0"/>
              <w:spacing w:before="0" w:after="283"/>
              <w:jc w:val="left"/>
              <w:rPr/>
            </w:pPr>
            <w:r>
              <w:rPr/>
              <w:t>)</w:t>
            </w:r>
          </w:p>
        </w:tc>
      </w:tr>
      <w:tr>
        <w:trPr/>
        <w:tc>
          <w:tcPr>
            <w:tcW w:w="6343"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113" w:type="dxa"/>
            <w:tcBorders/>
            <w:shd w:fill="FFFFFF" w:val="clear"/>
            <w:vAlign w:val="center"/>
          </w:tcPr>
          <w:p>
            <w:pPr>
              <w:pStyle w:val="TableContents"/>
              <w:bidi w:val="0"/>
              <w:spacing w:before="0" w:after="283"/>
              <w:jc w:val="left"/>
              <w:rPr/>
            </w:pPr>
            <w:r>
              <w:rPr/>
              <w:t> </w:t>
            </w:r>
          </w:p>
        </w:tc>
      </w:tr>
      <w:tr>
        <w:trPr/>
        <w:tc>
          <w:tcPr>
            <w:tcW w:w="6343"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6,508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4,758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1,750</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by $1.8 million for the three months ended June 30, 2026, over the same period in 2025. The increase was primarily driven by clinical and regulatory expenses relating to increased clinical trial costs associated with our Phase 3 On Prime/GOG-3076 registration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following periods indicated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43"/>
        <w:gridCol w:w="60"/>
        <w:gridCol w:w="253"/>
        <w:gridCol w:w="1016"/>
        <w:gridCol w:w="108"/>
        <w:gridCol w:w="108"/>
        <w:gridCol w:w="253"/>
        <w:gridCol w:w="1016"/>
        <w:gridCol w:w="60"/>
        <w:gridCol w:w="60"/>
        <w:gridCol w:w="191"/>
        <w:gridCol w:w="624"/>
        <w:gridCol w:w="113"/>
      </w:tblGrid>
      <w:tr>
        <w:trPr/>
        <w:tc>
          <w:tcPr>
            <w:tcW w:w="6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center"/>
              <w:rPr/>
            </w:pPr>
            <w:r>
              <w:rPr/>
              <w:t> </w:t>
            </w:r>
          </w:p>
        </w:tc>
      </w:tr>
      <w:tr>
        <w:trPr/>
        <w:tc>
          <w:tcPr>
            <w:tcW w:w="63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center"/>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3" w:type="dxa"/>
            <w:tcBorders/>
            <w:vAlign w:val="center"/>
          </w:tcPr>
          <w:p>
            <w:pPr>
              <w:pStyle w:val="TableContents"/>
              <w:bidi w:val="0"/>
              <w:spacing w:before="0" w:after="283"/>
              <w:jc w:val="left"/>
              <w:rPr/>
            </w:pPr>
            <w:r>
              <w:rPr/>
              <w:t> </w:t>
            </w:r>
          </w:p>
        </w:tc>
      </w:tr>
      <w:tr>
        <w:trPr/>
        <w:tc>
          <w:tcPr>
            <w:tcW w:w="6343" w:type="dxa"/>
            <w:tcBorders/>
            <w:shd w:fill="CCEEFF" w:val="clear"/>
            <w:vAlign w:val="center"/>
          </w:tcPr>
          <w:p>
            <w:pPr>
              <w:pStyle w:val="TableContents"/>
              <w:bidi w:val="0"/>
              <w:spacing w:before="0" w:after="283"/>
              <w:jc w:val="left"/>
              <w:rPr/>
            </w:pPr>
            <w:r>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890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13</w:t>
            </w:r>
          </w:p>
        </w:tc>
        <w:tc>
          <w:tcPr>
            <w:tcW w:w="113" w:type="dxa"/>
            <w:tcBorders/>
            <w:shd w:fill="CCEEFF" w:val="clear"/>
            <w:vAlign w:val="center"/>
          </w:tcPr>
          <w:p>
            <w:pPr>
              <w:pStyle w:val="TableContents"/>
              <w:bidi w:val="0"/>
              <w:spacing w:before="0" w:after="283"/>
              <w:jc w:val="left"/>
              <w:rPr/>
            </w:pPr>
            <w:r>
              <w:rPr/>
              <w:t> </w:t>
            </w:r>
          </w:p>
        </w:tc>
      </w:tr>
      <w:tr>
        <w:trPr/>
        <w:tc>
          <w:tcPr>
            <w:tcW w:w="6343" w:type="dxa"/>
            <w:tcBorders/>
            <w:shd w:fill="FFFFFF" w:val="clear"/>
            <w:vAlign w:val="center"/>
          </w:tcPr>
          <w:p>
            <w:pPr>
              <w:pStyle w:val="TableContents"/>
              <w:bidi w:val="0"/>
              <w:spacing w:before="0" w:after="283"/>
              <w:jc w:val="left"/>
              <w:rPr/>
            </w:pPr>
            <w:r>
              <w:rPr/>
              <w:t>Stock compensation, including the cost of stock options and restricted stock grants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1,398</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528</w:t>
            </w:r>
          </w:p>
        </w:tc>
        <w:tc>
          <w:tcPr>
            <w:tcW w:w="113" w:type="dxa"/>
            <w:tcBorders/>
            <w:shd w:fill="FFFFFF" w:val="clear"/>
            <w:vAlign w:val="center"/>
          </w:tcPr>
          <w:p>
            <w:pPr>
              <w:pStyle w:val="TableContents"/>
              <w:bidi w:val="0"/>
              <w:spacing w:before="0" w:after="283"/>
              <w:jc w:val="left"/>
              <w:rPr/>
            </w:pPr>
            <w:r>
              <w:rPr/>
              <w:t> </w:t>
            </w:r>
          </w:p>
        </w:tc>
      </w:tr>
      <w:tr>
        <w:trPr/>
        <w:tc>
          <w:tcPr>
            <w:tcW w:w="6343"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402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(156</w:t>
            </w:r>
          </w:p>
        </w:tc>
        <w:tc>
          <w:tcPr>
            <w:tcW w:w="113" w:type="dxa"/>
            <w:tcBorders/>
            <w:shd w:fill="CCEEFF" w:val="clear"/>
            <w:vAlign w:val="center"/>
          </w:tcPr>
          <w:p>
            <w:pPr>
              <w:pStyle w:val="TableContents"/>
              <w:bidi w:val="0"/>
              <w:spacing w:before="0" w:after="283"/>
              <w:jc w:val="left"/>
              <w:rPr/>
            </w:pPr>
            <w:r>
              <w:rPr/>
              <w:t>)</w:t>
            </w:r>
          </w:p>
        </w:tc>
      </w:tr>
      <w:tr>
        <w:trPr/>
        <w:tc>
          <w:tcPr>
            <w:tcW w:w="6343" w:type="dxa"/>
            <w:tcBorders/>
            <w:shd w:fill="FFFFFF" w:val="clear"/>
            <w:vAlign w:val="center"/>
          </w:tcPr>
          <w:p>
            <w:pPr>
              <w:pStyle w:val="TableContents"/>
              <w:bidi w:val="0"/>
              <w:spacing w:before="0" w:after="283"/>
              <w:jc w:val="left"/>
              <w:rPr/>
            </w:pPr>
            <w:r>
              <w:rPr/>
              <w:t>Facility-related expenses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(53</w:t>
            </w:r>
          </w:p>
        </w:tc>
        <w:tc>
          <w:tcPr>
            <w:tcW w:w="113" w:type="dxa"/>
            <w:tcBorders/>
            <w:shd w:fill="FFFFFF" w:val="clear"/>
            <w:vAlign w:val="center"/>
          </w:tcPr>
          <w:p>
            <w:pPr>
              <w:pStyle w:val="TableContents"/>
              <w:bidi w:val="0"/>
              <w:spacing w:before="0" w:after="283"/>
              <w:jc w:val="left"/>
              <w:rPr/>
            </w:pPr>
            <w:r>
              <w:rPr/>
              <w:t>)</w:t>
            </w:r>
          </w:p>
        </w:tc>
      </w:tr>
      <w:tr>
        <w:trPr/>
        <w:tc>
          <w:tcPr>
            <w:tcW w:w="6343" w:type="dxa"/>
            <w:tcBorders/>
            <w:shd w:fill="CCEEFF" w:val="clear"/>
            <w:vAlign w:val="center"/>
          </w:tcPr>
          <w:p>
            <w:pPr>
              <w:pStyle w:val="TableContents"/>
              <w:bidi w:val="0"/>
              <w:spacing w:before="0" w:after="283"/>
              <w:jc w:val="left"/>
              <w:rPr/>
            </w:pPr>
            <w:r>
              <w:rPr/>
              <w:t>Insurance expenses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178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w:t>
            </w:r>
          </w:p>
        </w:tc>
      </w:tr>
      <w:tr>
        <w:trPr/>
        <w:tc>
          <w:tcPr>
            <w:tcW w:w="6343" w:type="dxa"/>
            <w:tcBorders/>
            <w:shd w:fill="FFFFFF" w:val="clear"/>
            <w:vAlign w:val="center"/>
          </w:tcPr>
          <w:p>
            <w:pPr>
              <w:pStyle w:val="TableContents"/>
              <w:bidi w:val="0"/>
              <w:spacing w:before="0" w:after="283"/>
              <w:jc w:val="left"/>
              <w:rPr/>
            </w:pPr>
            <w:r>
              <w:rPr/>
              <w:t>Consulting and contract labor expenses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82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(36</w:t>
            </w:r>
          </w:p>
        </w:tc>
        <w:tc>
          <w:tcPr>
            <w:tcW w:w="113" w:type="dxa"/>
            <w:tcBorders/>
            <w:shd w:fill="FFFFFF" w:val="clear"/>
            <w:vAlign w:val="center"/>
          </w:tcPr>
          <w:p>
            <w:pPr>
              <w:pStyle w:val="TableContents"/>
              <w:bidi w:val="0"/>
              <w:spacing w:before="0" w:after="283"/>
              <w:jc w:val="left"/>
              <w:rPr/>
            </w:pPr>
            <w:r>
              <w:rPr/>
              <w:t>)</w:t>
            </w:r>
          </w:p>
        </w:tc>
      </w:tr>
      <w:tr>
        <w:trPr/>
        <w:tc>
          <w:tcPr>
            <w:tcW w:w="6343"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138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(152</w:t>
            </w:r>
          </w:p>
        </w:tc>
        <w:tc>
          <w:tcPr>
            <w:tcW w:w="113" w:type="dxa"/>
            <w:tcBorders/>
            <w:shd w:fill="CCEEFF" w:val="clear"/>
            <w:vAlign w:val="center"/>
          </w:tcPr>
          <w:p>
            <w:pPr>
              <w:pStyle w:val="TableContents"/>
              <w:bidi w:val="0"/>
              <w:spacing w:before="0" w:after="283"/>
              <w:jc w:val="left"/>
              <w:rPr/>
            </w:pPr>
            <w:r>
              <w:rPr/>
              <w:t>)</w:t>
            </w:r>
          </w:p>
        </w:tc>
      </w:tr>
      <w:tr>
        <w:trPr/>
        <w:tc>
          <w:tcPr>
            <w:tcW w:w="6343" w:type="dxa"/>
            <w:tcBorders/>
            <w:shd w:fill="FFFFFF" w:val="clear"/>
            <w:vAlign w:val="center"/>
          </w:tcPr>
          <w:p>
            <w:pPr>
              <w:pStyle w:val="TableContents"/>
              <w:bidi w:val="0"/>
              <w:spacing w:before="0" w:after="283"/>
              <w:jc w:val="left"/>
              <w:rPr/>
            </w:pPr>
            <w:r>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pPr>
            <w:r>
              <w:rPr/>
              <w:t>3,137</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pPr>
            <w:r>
              <w:rPr/>
              <w:t>3,034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jc w:val="right"/>
              <w:rPr/>
            </w:pPr>
            <w:r>
              <w:rPr/>
              <w:t>103</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$0.1 million for the three months ended June 30, 2026 over the same period in 2025 primarily as a result of an increase of $0.5 million in stock compensation partially offset by $0.3 million reduction in professional services and other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$0.2 million and $0.3 million for the three months ended June 30, 2026 and 2025, respectively. There was a decrease of $0.1 million in 2026 primarily due to lower bond accretion income.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following periods indicated (in thousands):</w:t>
      </w:r>
    </w:p>
    <w:p>
      <w:pPr>
        <w:pStyle w:val="TextBody"/>
        <w:bidi w:val="0"/>
        <w:spacing w:before="0" w:after="0"/>
        <w:ind w:left="0" w:right="0" w:firstLine="720"/>
        <w:jc w:val="both"/>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2585"/>
        <w:gridCol w:w="60"/>
        <w:gridCol w:w="140"/>
        <w:gridCol w:w="755"/>
        <w:gridCol w:w="95"/>
        <w:gridCol w:w="60"/>
        <w:gridCol w:w="140"/>
        <w:gridCol w:w="755"/>
        <w:gridCol w:w="95"/>
        <w:gridCol w:w="60"/>
        <w:gridCol w:w="147"/>
        <w:gridCol w:w="668"/>
        <w:gridCol w:w="110"/>
      </w:tblGrid>
      <w:tr>
        <w:trPr/>
        <w:tc>
          <w:tcPr>
            <w:tcW w:w="2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2,830</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378</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both"/>
              <w:rPr/>
            </w:pPr>
            <w:r>
              <w:rPr/>
              <w:t>Bond Accretion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both"/>
              <w:rPr/>
            </w:pPr>
            <w:r>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(243</w:t>
            </w:r>
          </w:p>
        </w:tc>
        <w:tc>
          <w:tcPr>
            <w:tcW w:w="11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(18,399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(14,948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(3,451</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(R&amp;D)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following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61"/>
        <w:gridCol w:w="60"/>
        <w:gridCol w:w="234"/>
        <w:gridCol w:w="1139"/>
        <w:gridCol w:w="60"/>
        <w:gridCol w:w="60"/>
        <w:gridCol w:w="269"/>
        <w:gridCol w:w="1076"/>
        <w:gridCol w:w="60"/>
        <w:gridCol w:w="60"/>
        <w:gridCol w:w="163"/>
        <w:gridCol w:w="652"/>
        <w:gridCol w:w="111"/>
      </w:tblGrid>
      <w:tr>
        <w:trPr/>
        <w:tc>
          <w:tcPr>
            <w:tcW w:w="6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1" w:type="dxa"/>
            <w:tcBorders/>
            <w:vAlign w:val="center"/>
          </w:tcPr>
          <w:p>
            <w:pPr>
              <w:pStyle w:val="TableContents"/>
              <w:bidi w:val="0"/>
              <w:spacing w:before="0" w:after="283"/>
              <w:jc w:val="left"/>
              <w:rPr/>
            </w:pPr>
            <w:r>
              <w:rPr/>
              <w:t> </w:t>
            </w:r>
          </w:p>
        </w:tc>
      </w:tr>
      <w:tr>
        <w:trPr/>
        <w:tc>
          <w:tcPr>
            <w:tcW w:w="6261" w:type="dxa"/>
            <w:tcBorders/>
            <w:shd w:fill="CCEEFF" w:val="clear"/>
            <w:vAlign w:val="center"/>
          </w:tcPr>
          <w:p>
            <w:pPr>
              <w:pStyle w:val="TableContents"/>
              <w:bidi w:val="0"/>
              <w:spacing w:before="0" w:after="283"/>
              <w:jc w:val="left"/>
              <w:rPr/>
            </w:pPr>
            <w:r>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2,385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1,864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521</w:t>
            </w:r>
          </w:p>
        </w:tc>
        <w:tc>
          <w:tcPr>
            <w:tcW w:w="111" w:type="dxa"/>
            <w:tcBorders/>
            <w:shd w:fill="CCEEFF" w:val="cle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pPr>
            <w:r>
              <w:rPr/>
              <w:t>Stock compensation, including the cost of stock options and restricted stock grants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1,690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583</w:t>
            </w:r>
          </w:p>
        </w:tc>
        <w:tc>
          <w:tcPr>
            <w:tcW w:w="111" w:type="dxa"/>
            <w:tcBorders/>
            <w:shd w:fill="FFFFFF" w:val="clear"/>
            <w:vAlign w:val="center"/>
          </w:tcPr>
          <w:p>
            <w:pPr>
              <w:pStyle w:val="TableContents"/>
              <w:bidi w:val="0"/>
              <w:spacing w:before="0" w:after="283"/>
              <w:jc w:val="left"/>
              <w:rPr/>
            </w:pPr>
            <w:r>
              <w:rPr/>
              <w:t> </w:t>
            </w:r>
          </w:p>
        </w:tc>
      </w:tr>
      <w:tr>
        <w:trPr/>
        <w:tc>
          <w:tcPr>
            <w:tcW w:w="6261" w:type="dxa"/>
            <w:tcBorders/>
            <w:shd w:fill="CCEEFF" w:val="clear"/>
            <w:vAlign w:val="center"/>
          </w:tcPr>
          <w:p>
            <w:pPr>
              <w:pStyle w:val="TableContents"/>
              <w:bidi w:val="0"/>
              <w:spacing w:before="0" w:after="283"/>
              <w:jc w:val="left"/>
              <w:rPr/>
            </w:pPr>
            <w:r>
              <w:rPr/>
              <w:t>Manufacturing and laboratory materials and other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(513</w:t>
            </w:r>
          </w:p>
        </w:tc>
        <w:tc>
          <w:tcPr>
            <w:tcW w:w="111" w:type="dxa"/>
            <w:tcBorders/>
            <w:shd w:fill="CCEEFF" w:val="clear"/>
            <w:vAlign w:val="center"/>
          </w:tcPr>
          <w:p>
            <w:pPr>
              <w:pStyle w:val="TableContents"/>
              <w:bidi w:val="0"/>
              <w:spacing w:before="0" w:after="283"/>
              <w:jc w:val="left"/>
              <w:rPr/>
            </w:pPr>
            <w:r>
              <w:rPr/>
              <w:t>)</w:t>
            </w:r>
          </w:p>
        </w:tc>
      </w:tr>
      <w:tr>
        <w:trPr/>
        <w:tc>
          <w:tcPr>
            <w:tcW w:w="6261" w:type="dxa"/>
            <w:tcBorders/>
            <w:shd w:fill="FFFFFF" w:val="clear"/>
            <w:vAlign w:val="center"/>
          </w:tcPr>
          <w:p>
            <w:pPr>
              <w:pStyle w:val="TableContents"/>
              <w:bidi w:val="0"/>
              <w:spacing w:before="0" w:after="283"/>
              <w:jc w:val="left"/>
              <w:rPr/>
            </w:pPr>
            <w:r>
              <w:rPr/>
              <w:t>Manufacturing quality services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(259</w:t>
            </w:r>
          </w:p>
        </w:tc>
        <w:tc>
          <w:tcPr>
            <w:tcW w:w="111" w:type="dxa"/>
            <w:tcBorders/>
            <w:shd w:fill="FFFFFF" w:val="clear"/>
            <w:vAlign w:val="center"/>
          </w:tcPr>
          <w:p>
            <w:pPr>
              <w:pStyle w:val="TableContents"/>
              <w:bidi w:val="0"/>
              <w:spacing w:before="0" w:after="283"/>
              <w:jc w:val="left"/>
              <w:rPr/>
            </w:pPr>
            <w:r>
              <w:rPr/>
              <w:t>)</w:t>
            </w:r>
          </w:p>
        </w:tc>
      </w:tr>
      <w:tr>
        <w:trPr/>
        <w:tc>
          <w:tcPr>
            <w:tcW w:w="6261" w:type="dxa"/>
            <w:tcBorders/>
            <w:shd w:fill="CCEEFF" w:val="clear"/>
            <w:vAlign w:val="center"/>
          </w:tcPr>
          <w:p>
            <w:pPr>
              <w:pStyle w:val="TableContents"/>
              <w:bidi w:val="0"/>
              <w:spacing w:before="0" w:after="283"/>
              <w:jc w:val="left"/>
              <w:rPr/>
            </w:pPr>
            <w:r>
              <w:rPr/>
              <w:t>Clinical and regulatory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7,059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2,715</w:t>
            </w:r>
          </w:p>
        </w:tc>
        <w:tc>
          <w:tcPr>
            <w:tcW w:w="111" w:type="dxa"/>
            <w:tcBorders/>
            <w:shd w:fill="CCEEFF" w:val="cle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pPr>
            <w:r>
              <w:rPr/>
              <w:t>Facility-related expenses, including depreciation</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(119</w:t>
            </w:r>
          </w:p>
        </w:tc>
        <w:tc>
          <w:tcPr>
            <w:tcW w:w="111" w:type="dxa"/>
            <w:tcBorders/>
            <w:shd w:fill="FFFFFF" w:val="clear"/>
            <w:vAlign w:val="center"/>
          </w:tcPr>
          <w:p>
            <w:pPr>
              <w:pStyle w:val="TableContents"/>
              <w:bidi w:val="0"/>
              <w:spacing w:before="0" w:after="283"/>
              <w:jc w:val="left"/>
              <w:rPr/>
            </w:pPr>
            <w:r>
              <w:rPr/>
              <w:t>)</w:t>
            </w:r>
          </w:p>
        </w:tc>
      </w:tr>
      <w:tr>
        <w:trPr/>
        <w:tc>
          <w:tcPr>
            <w:tcW w:w="6261" w:type="dxa"/>
            <w:tcBorders/>
            <w:shd w:fill="CCEEFF" w:val="clear"/>
            <w:vAlign w:val="center"/>
          </w:tcPr>
          <w:p>
            <w:pPr>
              <w:pStyle w:val="TableContents"/>
              <w:bidi w:val="0"/>
              <w:spacing w:before="0" w:after="283"/>
              <w:jc w:val="left"/>
              <w:rPr/>
            </w:pPr>
            <w:r>
              <w:rPr/>
              <w:t>Consulting expenses and contract labor</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(104</w:t>
            </w:r>
          </w:p>
        </w:tc>
        <w:tc>
          <w:tcPr>
            <w:tcW w:w="111" w:type="dxa"/>
            <w:tcBorders/>
            <w:shd w:fill="CCEEFF" w:val="clear"/>
            <w:vAlign w:val="center"/>
          </w:tcPr>
          <w:p>
            <w:pPr>
              <w:pStyle w:val="TableContents"/>
              <w:bidi w:val="0"/>
              <w:spacing w:before="0" w:after="283"/>
              <w:jc w:val="left"/>
              <w:rPr/>
            </w:pPr>
            <w:r>
              <w:rPr/>
              <w:t>)</w:t>
            </w:r>
          </w:p>
        </w:tc>
      </w:tr>
      <w:tr>
        <w:trPr/>
        <w:tc>
          <w:tcPr>
            <w:tcW w:w="6261"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111" w:type="dxa"/>
            <w:tcBorders/>
            <w:shd w:fill="FFFFFF" w:val="clear"/>
            <w:vAlign w:val="center"/>
          </w:tcPr>
          <w:p>
            <w:pPr>
              <w:pStyle w:val="TableContents"/>
              <w:bidi w:val="0"/>
              <w:spacing w:before="0" w:after="283"/>
              <w:jc w:val="left"/>
              <w:rPr/>
            </w:pPr>
            <w:r>
              <w:rPr/>
              <w:t> </w:t>
            </w:r>
          </w:p>
        </w:tc>
      </w:tr>
      <w:tr>
        <w:trPr/>
        <w:tc>
          <w:tcPr>
            <w:tcW w:w="6261"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jc w:val="right"/>
              <w:rPr/>
            </w:pPr>
            <w:r>
              <w:rPr/>
              <w:t>12,286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pPr>
            <w:r>
              <w:rPr/>
              <w:t>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pPr>
            <w:r>
              <w:rPr/>
              <w:t>2,830</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by $2.8 million for the six months ended June 30, 2026, over the same period in 2025. The increase was primarily driven by clinical and regulatory expenses relating to our Phase 3 On Prime/GOG-3076 registration trial in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for the following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83"/>
        <w:gridCol w:w="60"/>
        <w:gridCol w:w="269"/>
        <w:gridCol w:w="1078"/>
        <w:gridCol w:w="60"/>
        <w:gridCol w:w="60"/>
        <w:gridCol w:w="269"/>
        <w:gridCol w:w="1078"/>
        <w:gridCol w:w="60"/>
        <w:gridCol w:w="60"/>
        <w:gridCol w:w="191"/>
        <w:gridCol w:w="624"/>
        <w:gridCol w:w="113"/>
      </w:tblGrid>
      <w:tr>
        <w:trPr/>
        <w:tc>
          <w:tcPr>
            <w:tcW w:w="6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3" w:type="dxa"/>
            <w:tcBorders/>
            <w:vAlign w:val="center"/>
          </w:tcPr>
          <w:p>
            <w:pPr>
              <w:pStyle w:val="TableContents"/>
              <w:bidi w:val="0"/>
              <w:spacing w:before="0" w:after="283"/>
              <w:jc w:val="left"/>
              <w:rPr/>
            </w:pPr>
            <w:r>
              <w:rPr/>
              <w:t> </w:t>
            </w:r>
          </w:p>
        </w:tc>
      </w:tr>
      <w:tr>
        <w:trPr/>
        <w:tc>
          <w:tcPr>
            <w:tcW w:w="6283" w:type="dxa"/>
            <w:tcBorders/>
            <w:shd w:fill="CCEEFF" w:val="clear"/>
            <w:vAlign w:val="center"/>
          </w:tcPr>
          <w:p>
            <w:pPr>
              <w:pStyle w:val="TableContents"/>
              <w:bidi w:val="0"/>
              <w:spacing w:before="0" w:after="283"/>
              <w:jc w:val="left"/>
              <w:rPr/>
            </w:pPr>
            <w:r>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212</w:t>
            </w:r>
          </w:p>
        </w:tc>
        <w:tc>
          <w:tcPr>
            <w:tcW w:w="113" w:type="dxa"/>
            <w:tcBorders/>
            <w:shd w:fill="CCEEFF" w:val="clear"/>
            <w:vAlign w:val="center"/>
          </w:tcPr>
          <w:p>
            <w:pPr>
              <w:pStyle w:val="TableContents"/>
              <w:bidi w:val="0"/>
              <w:spacing w:before="0" w:after="283"/>
              <w:jc w:val="left"/>
              <w:rPr/>
            </w:pPr>
            <w:r>
              <w:rPr/>
              <w:t> </w:t>
            </w:r>
          </w:p>
        </w:tc>
      </w:tr>
      <w:tr>
        <w:trPr/>
        <w:tc>
          <w:tcPr>
            <w:tcW w:w="6283" w:type="dxa"/>
            <w:tcBorders/>
            <w:shd w:fill="FFFFFF" w:val="clear"/>
            <w:vAlign w:val="center"/>
          </w:tcPr>
          <w:p>
            <w:pPr>
              <w:pStyle w:val="TableContents"/>
              <w:bidi w:val="0"/>
              <w:spacing w:before="0" w:after="283"/>
              <w:jc w:val="left"/>
              <w:rPr/>
            </w:pPr>
            <w:r>
              <w:rPr/>
              <w:t>Stock compensation, including the cost of stock options and restricted stock grants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458</w:t>
            </w:r>
          </w:p>
        </w:tc>
        <w:tc>
          <w:tcPr>
            <w:tcW w:w="113" w:type="dxa"/>
            <w:tcBorders/>
            <w:shd w:fill="FFFFFF" w:val="clear"/>
            <w:vAlign w:val="center"/>
          </w:tcPr>
          <w:p>
            <w:pPr>
              <w:pStyle w:val="TableContents"/>
              <w:bidi w:val="0"/>
              <w:spacing w:before="0" w:after="283"/>
              <w:jc w:val="left"/>
              <w:rPr/>
            </w:pPr>
            <w:r>
              <w:rPr/>
              <w:t> </w:t>
            </w:r>
          </w:p>
        </w:tc>
      </w:tr>
      <w:tr>
        <w:trPr/>
        <w:tc>
          <w:tcPr>
            <w:tcW w:w="6283"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(211</w:t>
            </w:r>
          </w:p>
        </w:tc>
        <w:tc>
          <w:tcPr>
            <w:tcW w:w="113" w:type="dxa"/>
            <w:tcBorders/>
            <w:shd w:fill="CCEEFF" w:val="clear"/>
            <w:vAlign w:val="center"/>
          </w:tcPr>
          <w:p>
            <w:pPr>
              <w:pStyle w:val="TableContents"/>
              <w:bidi w:val="0"/>
              <w:spacing w:before="0" w:after="283"/>
              <w:jc w:val="left"/>
              <w:rPr/>
            </w:pPr>
            <w:r>
              <w:rPr/>
              <w:t>)</w:t>
            </w:r>
          </w:p>
        </w:tc>
      </w:tr>
      <w:tr>
        <w:trPr/>
        <w:tc>
          <w:tcPr>
            <w:tcW w:w="6283" w:type="dxa"/>
            <w:tcBorders/>
            <w:shd w:fill="FFFFFF" w:val="clear"/>
            <w:vAlign w:val="center"/>
          </w:tcPr>
          <w:p>
            <w:pPr>
              <w:pStyle w:val="TableContents"/>
              <w:bidi w:val="0"/>
              <w:spacing w:before="0" w:after="283"/>
              <w:jc w:val="left"/>
              <w:rPr/>
            </w:pPr>
            <w:r>
              <w:rPr/>
              <w:t>Facility-related expenses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jc w:val="left"/>
              <w:rPr/>
            </w:pPr>
            <w:r>
              <w:rPr/>
              <w:t>)</w:t>
            </w:r>
          </w:p>
        </w:tc>
      </w:tr>
      <w:tr>
        <w:trPr/>
        <w:tc>
          <w:tcPr>
            <w:tcW w:w="6283" w:type="dxa"/>
            <w:tcBorders/>
            <w:shd w:fill="CCEEFF" w:val="clear"/>
            <w:vAlign w:val="center"/>
          </w:tcPr>
          <w:p>
            <w:pPr>
              <w:pStyle w:val="TableContents"/>
              <w:bidi w:val="0"/>
              <w:spacing w:before="0" w:after="283"/>
              <w:jc w:val="left"/>
              <w:rPr/>
            </w:pPr>
            <w:r>
              <w:rPr/>
              <w:t>Insurance expenses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8</w:t>
            </w:r>
          </w:p>
        </w:tc>
        <w:tc>
          <w:tcPr>
            <w:tcW w:w="113" w:type="dxa"/>
            <w:tcBorders/>
            <w:shd w:fill="CCEEFF" w:val="clear"/>
            <w:vAlign w:val="center"/>
          </w:tcPr>
          <w:p>
            <w:pPr>
              <w:pStyle w:val="TableContents"/>
              <w:bidi w:val="0"/>
              <w:spacing w:before="0" w:after="283"/>
              <w:jc w:val="left"/>
              <w:rPr/>
            </w:pPr>
            <w:r>
              <w:rPr/>
              <w:t> </w:t>
            </w:r>
          </w:p>
        </w:tc>
      </w:tr>
      <w:tr>
        <w:trPr/>
        <w:tc>
          <w:tcPr>
            <w:tcW w:w="6283" w:type="dxa"/>
            <w:tcBorders/>
            <w:shd w:fill="FFFFFF" w:val="clear"/>
            <w:vAlign w:val="center"/>
          </w:tcPr>
          <w:p>
            <w:pPr>
              <w:pStyle w:val="TableContents"/>
              <w:bidi w:val="0"/>
              <w:spacing w:before="0" w:after="283"/>
              <w:jc w:val="left"/>
              <w:rPr/>
            </w:pPr>
            <w:r>
              <w:rPr/>
              <w:t>Consulting and contract labor expenses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40</w:t>
            </w:r>
          </w:p>
        </w:tc>
        <w:tc>
          <w:tcPr>
            <w:tcW w:w="113" w:type="dxa"/>
            <w:tcBorders/>
            <w:shd w:fill="FFFFFF" w:val="clear"/>
            <w:vAlign w:val="center"/>
          </w:tcPr>
          <w:p>
            <w:pPr>
              <w:pStyle w:val="TableContents"/>
              <w:bidi w:val="0"/>
              <w:spacing w:before="0" w:after="283"/>
              <w:jc w:val="left"/>
              <w:rPr/>
            </w:pPr>
            <w:r>
              <w:rPr/>
              <w:t> </w:t>
            </w:r>
          </w:p>
        </w:tc>
      </w:tr>
      <w:tr>
        <w:trPr/>
        <w:tc>
          <w:tcPr>
            <w:tcW w:w="6283"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113" w:type="dxa"/>
            <w:tcBorders/>
            <w:shd w:fill="CCEEFF" w:val="clear"/>
            <w:vAlign w:val="center"/>
          </w:tcPr>
          <w:p>
            <w:pPr>
              <w:pStyle w:val="TableContents"/>
              <w:bidi w:val="0"/>
              <w:spacing w:before="0" w:after="283"/>
              <w:jc w:val="left"/>
              <w:rPr/>
            </w:pPr>
            <w:r>
              <w:rPr/>
              <w:t>)</w:t>
            </w:r>
          </w:p>
        </w:tc>
      </w:tr>
      <w:tr>
        <w:trPr/>
        <w:tc>
          <w:tcPr>
            <w:tcW w:w="6283" w:type="dxa"/>
            <w:tcBorders/>
            <w:shd w:fill="FFFFFF" w:val="clear"/>
            <w:vAlign w:val="center"/>
          </w:tcPr>
          <w:p>
            <w:pPr>
              <w:pStyle w:val="TableContents"/>
              <w:bidi w:val="0"/>
              <w:spacing w:before="0" w:after="283"/>
              <w:jc w:val="left"/>
              <w:rPr/>
            </w:pPr>
            <w:r>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pPr>
            <w:r>
              <w:rPr/>
              <w:t>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pPr>
            <w:r>
              <w:rPr/>
              <w:t>6,152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jc w:val="right"/>
              <w:rPr/>
            </w:pPr>
            <w:r>
              <w:rPr/>
              <w:t>378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and administrative expenses increased by $0.4 million for the six months ended June 30, 2026 over the same period in 2025 primarily as a result of a $0.5 million increase in stock compensation partially offset by $0.2 million decrease of professional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$0.4 million and $0.7 million for the six months ended June 30, 2026, and 2025, respectively. The decrease of $0.3 million in 2026 is primarily due to lower bond accretion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As reflected in the accompanying financial statements, we have experienced recurring losses from operations since inception and incurred a net loss of $18.4 million and cash used in operations of $12.5 million during the six months ended June 30, 2026. These factors raise substantial doubt about our ability to continue as a going concern. In addition, our independent registered public accounting firm has included an explanatory paragraph in their report with respect to the uncertainty that accompanies our audited financial statements as of and for the year ended December 31, 2025. Our ability to continue as a going concern is dependent upon our ability to raise additional funds and implement our development strategies. The financial statements do not include any adjustments that might be necessary if we are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cash equivalents, restricted cash and marketable securities of $18.7 million. Apart from payment and reimbursement obligations of our licensing partner, Newsoara HYK Biopharmaceuticals Co., Ltd. (Newsoara), under a license agreement with Newsoara, we do not have any committed external source of funds or other support for our developmental efforts. Until we can generate sufficient product revenue to finance our cash requirements, which we may never do, we expect to finance our future cash needs through a combination of public or private equity offerings, which may include sales under our ATM Agreement, debt financings and/or other capital sources such as milestone payments, royalties or other payments or funding from existing or potential collaborations, strategic alliances, licensing arrangements and other arrangements. Based on our research and development plans, we expect that our existing cash, cash equivalents, restricted cash and marketable securities will fund our planned operations into the first quarter of 2027.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Olvi-Vec or any future product candidates. Our existing cash balance may not be sufficient to complete the development of Olvi-Vec or any other product candidate.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stockholders, in case of equity financing, or grant unfavorable terms in future licensing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each of the periods presented below:</w:t>
      </w:r>
    </w:p>
    <w:p>
      <w:pPr>
        <w:pStyle w:val="TextBody"/>
        <w:bidi w:val="0"/>
        <w:spacing w:before="0" w:after="0"/>
        <w:ind w:left="0" w:right="0" w:hanging="0"/>
        <w:jc w:val="center"/>
        <w:rPr>
          <w:caps w:val="false"/>
          <w:smallCaps w:val="false"/>
        </w:rPr>
      </w:pPr>
      <w:r>
        <w:rPr>
          <w:caps w:val="false"/>
          <w:smallCaps w:val="false"/>
        </w:rPr>
        <w:t> </w:t>
      </w:r>
    </w:p>
    <w:tbl>
      <w:tblPr>
        <w:tblW w:w="9402" w:type="dxa"/>
        <w:jc w:val="left"/>
        <w:tblInd w:w="0" w:type="dxa"/>
        <w:tblLayout w:type="fixed"/>
        <w:tblCellMar>
          <w:top w:w="0" w:type="dxa"/>
          <w:left w:w="0" w:type="dxa"/>
          <w:bottom w:w="0" w:type="dxa"/>
          <w:right w:w="0" w:type="dxa"/>
        </w:tblCellMar>
      </w:tblPr>
      <w:tblGrid>
        <w:gridCol w:w="6410"/>
        <w:gridCol w:w="60"/>
        <w:gridCol w:w="203"/>
        <w:gridCol w:w="1096"/>
        <w:gridCol w:w="137"/>
        <w:gridCol w:w="87"/>
        <w:gridCol w:w="203"/>
        <w:gridCol w:w="1096"/>
        <w:gridCol w:w="110"/>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Cash Flow from:</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(12,503</w:t>
            </w:r>
          </w:p>
        </w:tc>
        <w:tc>
          <w:tcPr>
            <w:tcW w:w="137"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(12,494</w:t>
            </w:r>
          </w:p>
        </w:tc>
        <w:tc>
          <w:tcPr>
            <w:tcW w:w="11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(2,571</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856</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18,925</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9,619</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3,851</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(2,019</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9,184</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6,546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cash flow used in operating activities was $12.5 million, which consisted of a net loss of $18.4 million, partially offset by non-cash expense of stock compensation of $4.0 million and increase in accrued expenses of $2.6 million. Cash used in investing activities was $2.6 million, which was primarily attributable to manufacturing facility enhancements and related equipment for $2.5 million and net purchases of marketable securities of $0.1 million. Cash provided by financing activities of $18.9 million was related to cash received from sale of common stock. See “Stockholders’ Equity” in Note 9 to our condensed financial statements in Part 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cash flow used in operating activities was $12.5 million, which consisted of a net loss of $14.9 million and the non-cash expense of stock-related compensation of $3.0 million partially offset by an increase in prepaid expenses of $0.6 million. Cash provided by investing activities amounted to $0.9 million, which was primarily attributable to net maturities of marketable securities of $1.0 million. Cash provided by financing activities of $9.6 million was related to cash received from sale of common stock of $9.6 million. See “Stockholders’ Equity” in Note 9 to our unaudited interim condensed financial statements in Part I. Item 1 “Financial Statements” in this Quarterly Report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Under ATM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we sold 120,087 shares of our common stock to an existing stockholder under our ATM Agreement. The net proceeds received from such sales were $0.3 million, after deducting discounts and commissions and other offering expenses.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an underwritten offering of 6,666,667 shares of our common stock at an offering price of $3.00 per share. The net proceeds received from the offering were $18.5 million, after deducting underwriting discounts and commissions and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limit reduce or eliminate our research and development programs or future commercialization efforts.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cash, cash equivalents, restricted cash and marketable securities will fund our planned operations into the first quarter of 2027. We have based this estimate on assumptions that may prove to be wrong, and we may use our available capital resources sooner than we currently expect. Our future capital requirements will depend on a number of factors,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conducting preclinical studies and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discovery, preclinical development, laboratory testing, and clinical trials for product candidates we may develop,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on favorable terms, if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any license or collaboration agreements we might have at such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sales, marketing, manufacturing and distribution, for any of our product candidates for which we receive marketing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if any, received from commercial sales of our product candidates, should any of our product candidates receive marketing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obtaining, maintaining and enforcing our intellectual property rights, and defending intellectual property-related claims;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business operations and research and development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geopolitical and macroeconomic events, including future bank failures, new or increased tariffs, funding shortages as governmental and regulatory agencies on which we rely, geopolitical tensions between the United States and China, the Russia/Ukraine conflict, conflicts in the Middle East and global pandemics on U.S. and global economic conditions including changes in monetary and fiscal policy, United States political developments and other sources of instability that may affect our ability to access capital on acceptable terms, if at all.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needing to obtain further funding to achieve our business objectives beyond such date.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revenues, we expect to finance our cash needs through public or private equity offerings, which may include sales under the ATM Agreement, debt financings, and/or other sources, such as potential collaboration agreements, strategic alliances and licensing arrangements. To the extent that we raise additional capital through the sale of equity or convertible debt securities, our common stockholders’ ownership interests may be diluted, and the terms of these securities may include liquidation or other preferences that could adversely affect the rights of our common stockholders.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Financial Condition and Results of Operations is based on our financial statements, which have been prepared in accordance with accounting principles generally accepted in the United States (GAAP). The preparation of these financial statements requires us to make estimates, judgments and assumptions that affect the reported amounts of assets and liabilities, disclosure of contingent assets and liabilities as of the date of the balance sheets and the reported amounts of expenses during the reporting periods.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financial statements prospectively from the date of the change in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critical accounting policies are described in Part II. Item 7. “Management’s Discussion and Analysis of Financial Condition and Results of Operations - Critical Accounting Policies and Significant Judgments and Estimates” in our Annual Report. There were no material changes to these accounting policies during the six months ended June 30,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material changes in recent accounting pronouncements, see “Recent Accounting Pronouncements” in Note 2 to our unaudited interim condensed financial statements in Part I. Item 1 “Financial Statements” in this Quarterly Report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3" w:name="sh_002"/>
      <w:bookmarkEnd w:id="60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the Company’s exposure to market risk from that described in “Item 7A. Quantitative and Qualitative Disclosures About Market Risk” of its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4" w:name="sh_003"/>
      <w:bookmarkEnd w:id="60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Securities and Exchange Act of 1934, as amended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 Under the supervision and with the participation of our management, including our Chief Executive Officer and Chief Financial Officer, we conducted an evaluation of the effectiveness of our disclosure controls and procedures as of June 30, 2026. Based on this evaluation, our Chief Executive Officer and Chief Financial Officer concluded that our disclosure controls and procedures were effective at a reasonable assurance level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or 15d-15(f) of the Exchange Act) that occurred during the period covered by this Quarterly Report that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05" w:name="sh_004"/>
      <w:bookmarkEnd w:id="605"/>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6" w:name="sh_005"/>
      <w:bookmarkEnd w:id="606"/>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legal and settlement costs, diversion of management resources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7" w:name="sh_006"/>
      <w:bookmarkEnd w:id="60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Quarterly Report, you should carefully consider the risk factors and other cautionary statements described under the heading “Item 1A. Risk Factors” included in our Annual Report on Form 10-K for the year ended December 31, 2025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other than the updates to the risk factors or new risk factors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trade policies, including tariffs, sanctions and trade barriers may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Further,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 These developments have created a dynamic and unpredictable trade landscape, which may adversely impact our business, results of operations, financial condition and prospects.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specialized laboratory equipment, supplies, and materials, all or part of which we believe may be ultimately sourced from multiple countries outside the United States, to advance our research and development efforts.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tariffs will result in increased research and development expenses, including with respect to increased costs associated with specialized laboratory equipment used in the manufacture of Olvi-Vec. In addition, such tariffs could increase our supply chain complexity and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trade developments have and may continue to heighten the risks related to the other risk factors described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8" w:name="sh_007"/>
      <w:bookmarkEnd w:id="60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9" w:name="sh_008"/>
      <w:bookmarkEnd w:id="60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0" w:name="sh_009"/>
      <w:bookmarkEnd w:id="61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1" w:name="sh_010"/>
      <w:bookmarkEnd w:id="61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12" w:name="xdx_981_eecd--MtrlTermsOfTrdArrTextBlock"/>
      <w:bookmarkEnd w:id="612"/>
      <w:r>
        <w:rPr>
          <w:rFonts w:ascii="Times New Roman;Times;Serif" w:hAnsi="Times New Roman;Times;Serif"/>
          <w:b w:val="false"/>
          <w:i w:val="false"/>
          <w:caps w:val="false"/>
          <w:smallCaps w:val="false"/>
          <w:sz w:val="20"/>
        </w:rPr>
        <w:t xml:space="preserve">During the three months ended June 30, 2026, the following director (as defined in Rule 16a-a(f) under the Exchange Act) </w:t>
      </w:r>
      <w:bookmarkStart w:id="613" w:name="xdx_900_eecd--Rule10b51ArrAdoptedFlag_db"/>
      <w:bookmarkStart w:id="614" w:name="xdx_900_eecd--NonRule10b51ArrAdoptedFlag"/>
      <w:bookmarkEnd w:id="613"/>
      <w:bookmarkEnd w:id="614"/>
      <w:r>
        <w:rPr>
          <w:rFonts w:ascii="Times New Roman;Times;Serif" w:hAnsi="Times New Roman;Times;Serif"/>
          <w:b w:val="false"/>
          <w:i w:val="false"/>
          <w:caps w:val="false"/>
          <w:smallCaps w:val="false"/>
          <w:sz w:val="20"/>
        </w:rPr>
        <w:t xml:space="preserve">adopted or </w:t>
      </w:r>
      <w:bookmarkStart w:id="615" w:name="xdx_906_eecd--NonRule10b51ArrTrmntdFlag_"/>
      <w:bookmarkStart w:id="616" w:name="xdx_90A_eecd--Rule10b51ArrTrmntdFlag_dbF"/>
      <w:bookmarkEnd w:id="615"/>
      <w:bookmarkEnd w:id="616"/>
      <w:r>
        <w:rPr>
          <w:rFonts w:ascii="Times New Roman;Times;Serif" w:hAnsi="Times New Roman;Times;Serif"/>
          <w:b w:val="false"/>
          <w:i w:val="false"/>
          <w:caps w:val="false"/>
          <w:smallCaps w:val="false"/>
          <w:sz w:val="20"/>
        </w:rPr>
        <w:t>terminated the contracts, instructions or written plans for the purchase or sale of the Company’s securities as set forth in the table below.</w:t>
      </w:r>
    </w:p>
    <w:p>
      <w:pPr>
        <w:pStyle w:val="TextBody"/>
        <w:bidi w:val="0"/>
        <w:spacing w:before="0" w:after="0"/>
        <w:ind w:left="0" w:right="0" w:hanging="0"/>
        <w:jc w:val="both"/>
        <w:rPr>
          <w:caps w:val="false"/>
          <w:smallCaps w:val="false"/>
        </w:rPr>
      </w:pPr>
      <w:bookmarkStart w:id="617" w:name="xdx_C04_gBFMTOTATB-BEXV_zE1qig9HwFh"/>
      <w:bookmarkEnd w:id="617"/>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9630" w:type="dxa"/>
        <w:jc w:val="left"/>
        <w:tblInd w:w="0" w:type="dxa"/>
        <w:tblLayout w:type="fixed"/>
        <w:tblCellMar>
          <w:top w:w="0" w:type="dxa"/>
          <w:left w:w="0" w:type="dxa"/>
          <w:bottom w:w="28" w:type="dxa"/>
          <w:right w:w="0" w:type="dxa"/>
        </w:tblCellMar>
      </w:tblPr>
      <w:tblGrid>
        <w:gridCol w:w="2210"/>
        <w:gridCol w:w="60"/>
        <w:gridCol w:w="920"/>
        <w:gridCol w:w="60"/>
        <w:gridCol w:w="1100"/>
        <w:gridCol w:w="60"/>
        <w:gridCol w:w="1370"/>
        <w:gridCol w:w="60"/>
        <w:gridCol w:w="1655"/>
        <w:gridCol w:w="60"/>
        <w:gridCol w:w="2075"/>
      </w:tblGrid>
      <w:tr>
        <w:trPr/>
        <w:tc>
          <w:tcPr>
            <w:tcW w:w="2210" w:type="dxa"/>
            <w:tcBorders>
              <w:bottom w:val="single" w:sz="8" w:space="0" w:color="000000"/>
            </w:tcBorders>
            <w:vAlign w:val="center"/>
          </w:tcPr>
          <w:p>
            <w:pPr>
              <w:pStyle w:val="TableContents"/>
              <w:bidi w:val="0"/>
              <w:spacing w:before="0" w:after="283"/>
              <w:jc w:val="center"/>
              <w:rPr>
                <w:b/>
              </w:rPr>
            </w:pPr>
            <w:r>
              <w:rPr>
                <w:b/>
              </w:rPr>
              <w:t>Name and Position</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rPr>
            </w:pPr>
            <w:r>
              <w:rPr>
                <w:b/>
              </w:rPr>
              <w:t>Action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spacing w:before="0" w:after="283"/>
              <w:jc w:val="center"/>
              <w:rPr>
                <w:b/>
              </w:rPr>
            </w:pPr>
            <w:r>
              <w:rPr>
                <w:b/>
              </w:rPr>
              <w:t>Date</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Rule 10b5-1*</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8" w:space="0" w:color="000000"/>
            </w:tcBorders>
            <w:vAlign w:val="center"/>
          </w:tcPr>
          <w:p>
            <w:pPr>
              <w:pStyle w:val="TableContents"/>
              <w:bidi w:val="0"/>
              <w:spacing w:before="0" w:after="283"/>
              <w:jc w:val="center"/>
              <w:rPr>
                <w:b/>
              </w:rPr>
            </w:pPr>
            <w:r>
              <w:rPr>
                <w:b/>
              </w:rPr>
              <w:t>Expiration Date</w:t>
            </w:r>
          </w:p>
        </w:tc>
        <w:tc>
          <w:tcPr>
            <w:tcW w:w="60" w:type="dxa"/>
            <w:tcBorders/>
            <w:tcMar>
              <w:bottom w:w="0" w:type="dxa"/>
            </w:tcMar>
            <w:vAlign w:val="center"/>
          </w:tcPr>
          <w:p>
            <w:pPr>
              <w:pStyle w:val="TableContents"/>
              <w:bidi w:val="0"/>
              <w:spacing w:before="0" w:after="283"/>
              <w:jc w:val="left"/>
              <w:rPr/>
            </w:pPr>
            <w:r>
              <w:rPr/>
              <w:t> </w:t>
            </w:r>
          </w:p>
        </w:tc>
        <w:tc>
          <w:tcPr>
            <w:tcW w:w="2075" w:type="dxa"/>
            <w:tcBorders>
              <w:bottom w:val="single" w:sz="8" w:space="0" w:color="000000"/>
            </w:tcBorders>
            <w:vAlign w:val="center"/>
          </w:tcPr>
          <w:p>
            <w:pPr>
              <w:pStyle w:val="TableContents"/>
              <w:bidi w:val="0"/>
              <w:spacing w:before="0" w:after="283"/>
              <w:jc w:val="center"/>
              <w:rPr>
                <w:b/>
              </w:rPr>
            </w:pPr>
            <w:r>
              <w:rPr>
                <w:b/>
              </w:rPr>
              <w:t>Total Number of</w:t>
              <w:br/>
              <w:t>Securities to be Sold</w:t>
            </w:r>
          </w:p>
        </w:tc>
      </w:tr>
      <w:tr>
        <w:trPr/>
        <w:tc>
          <w:tcPr>
            <w:tcW w:w="2210" w:type="dxa"/>
            <w:tcBorders/>
            <w:shd w:fill="CCEEFF" w:val="clear"/>
            <w:tcMar>
              <w:bottom w:w="0" w:type="dxa"/>
            </w:tcMar>
            <w:vAlign w:val="center"/>
          </w:tcPr>
          <w:p>
            <w:pPr>
              <w:pStyle w:val="TableContents"/>
              <w:bidi w:val="0"/>
              <w:spacing w:before="0" w:after="283"/>
              <w:jc w:val="center"/>
              <w:rPr/>
            </w:pPr>
            <w:bookmarkStart w:id="618" w:name="xdx_90B_eecd--TrdArrIndName_c20260401__2"/>
            <w:bookmarkEnd w:id="618"/>
            <w:r>
              <w:rPr/>
              <w:t xml:space="preserve">John Thomas, </w:t>
            </w:r>
            <w:bookmarkStart w:id="619" w:name="xdx_905_eecd--TrdArrIndTitle_c20260401__"/>
            <w:bookmarkEnd w:id="619"/>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pPr>
            <w:r>
              <w:rPr/>
              <w:t>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bookmarkStart w:id="620" w:name="xdx_905_eecd--TrdArrAdoptionDate_c202604"/>
            <w:bookmarkEnd w:id="620"/>
            <w:r>
              <w:rPr/>
              <w:t>06/30/2026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center"/>
              <w:rPr/>
            </w:pPr>
            <w:r>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pPr>
            <w:bookmarkStart w:id="621" w:name="xdx_903_eecd--TrdArrExpirationDate_c2026"/>
            <w:bookmarkEnd w:id="621"/>
            <w:r>
              <w:rPr/>
              <w:t>12/31/2026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pPr>
            <w:r>
              <w:rPr/>
              <w:t xml:space="preserve">Up to </w:t>
            </w:r>
            <w:bookmarkStart w:id="622" w:name="xdx_90D_eecd--TrdArrSecuritiesAggAvailAm"/>
            <w:bookmarkEnd w:id="622"/>
            <w:r>
              <w:rPr/>
              <w:t>8,914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instruction or written plan intended to satisfy the affirmative defense conditions of Rule 10b5-1(c)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23" w:name="xdx_C06_gBFMTOTATB-BEXV_zPPXannsqVP2"/>
      <w:bookmarkEnd w:id="62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4" w:name="sh_011"/>
      <w:bookmarkEnd w:id="62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3"/>
        <w:gridCol w:w="60"/>
        <w:gridCol w:w="9392"/>
      </w:tblGrid>
      <w:tr>
        <w:trPr/>
        <w:tc>
          <w:tcPr>
            <w:tcW w:w="753"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the Registrant (incorporated by reference to Exhibit 3.1 to the Registrant’s Current Report on Form 8-K (File No. 001-41599), filed with the SEC on January 30, 2023).</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the Registrant (incorporated by reference to Exhibit 3.2 to the Registrant’s Current Report on Form 8-K (File No. 001-41599), filed with the SEC on January 30, 2023).</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Common Stock Certificate (incorporated by reference to Exhibit 4.1 to the Registrant’s Registration Statement on Form S-1 (File No. 333-265828), as amended, originally filed with the SEC on August 29, 2022).</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Representative’s Warrant (incorporated by reference to Exhibit 4.7 the Amendment No. 2 of Form S-1 (File No. 333-265828), filed with the SEC on September 19, 2022).</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Underwriter Warrant dated March 26, 2025 (incorporated by reference to Exhibit 4.1 to the Registrant’s Current Report on Form 8-K (File No. 001-41599), filed with the SEC on March 25, 2025).</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Warrant (incorporated by reference to Exhibit 4.1 to the Registrant’s Current Report on Form 8-K (File No. 001-41599), filed with the SEC on May 24, 2024).</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Genelux Corporation Non-Employee Director Compensation Policy</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w:anchor="ex19.htm">
              <w:r>
                <w:rPr>
                  <w:rStyle w:val="InternetLink"/>
                  <w:rFonts w:ascii="Times New Roman;Times;Serif" w:hAnsi="Times New Roman;Times;Serif"/>
                  <w:b w:val="false"/>
                  <w:i w:val="false"/>
                  <w:caps w:val="false"/>
                  <w:smallCaps w:val="false"/>
                  <w:sz w:val="20"/>
                </w:rPr>
                <w:t>Registrant’s Insider Trading Policy</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the-Sarbanes-Oxley Act of 2002.</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the-Sarbanes-Oxley Act of 2002.</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Instance Document - the instance document does not appear in the Interactive Data File because XBRL tags are embedded within the Inline XBRL document. </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with this Quarterly Report on Form 10-Q.</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5" w:name="sh_012"/>
      <w:bookmarkEnd w:id="62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6534" w:type="dxa"/>
        <w:jc w:val="left"/>
        <w:tblInd w:w="0" w:type="dxa"/>
        <w:tblLayout w:type="fixed"/>
        <w:tblCellMar>
          <w:top w:w="0" w:type="dxa"/>
          <w:left w:w="0" w:type="dxa"/>
          <w:bottom w:w="0" w:type="dxa"/>
          <w:right w:w="0" w:type="dxa"/>
        </w:tblCellMar>
      </w:tblPr>
      <w:tblGrid>
        <w:gridCol w:w="393"/>
        <w:gridCol w:w="2101"/>
        <w:gridCol w:w="60"/>
        <w:gridCol w:w="3980"/>
      </w:tblGrid>
      <w:tr>
        <w:trPr/>
        <w:tc>
          <w:tcPr>
            <w:tcW w:w="249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GENELUX CORPORATION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0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 J.D.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 J.D.</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Pulisic</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Pulisic</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93" w:type="dxa"/>
            <w:tcBorders/>
            <w:vAlign w:val="center"/>
          </w:tcPr>
          <w:p>
            <w:pPr>
              <w:pStyle w:val="TableContents"/>
              <w:bidi w:val="0"/>
              <w:spacing w:before="0" w:after="283"/>
              <w:jc w:val="both"/>
              <w:rPr>
                <w:caps w:val="false"/>
                <w:smallCaps w:val="false"/>
              </w:rPr>
            </w:pPr>
            <w:r>
              <w:rPr>
                <w:caps w:val="false"/>
                <w:smallCaps w:val="false"/>
              </w:rPr>
              <w:t> </w:t>
            </w:r>
          </w:p>
        </w:tc>
        <w:tc>
          <w:tcPr>
            <w:tcW w:w="21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26" w:name="ex10-1.htm"/>
      <w:bookmarkStart w:id="627" w:name="ksex101"/>
      <w:bookmarkEnd w:id="626"/>
      <w:bookmarkEnd w:id="627"/>
      <w:r>
        <w:rPr/>
        <w:t> </w:t>
      </w:r>
      <w:r>
        <w:br w:type="page"/>
      </w:r>
    </w:p>
    <w:p>
      <w:pPr>
        <w:pStyle w:val="TextBody"/>
        <w:bidi w:val="0"/>
        <w:jc w:val="right"/>
        <w:rPr>
          <w:b/>
        </w:rPr>
      </w:pPr>
      <w:r>
        <w:rPr>
          <w:b/>
        </w:rPr>
        <w:t>Exhibit 10.1</w:t>
      </w:r>
    </w:p>
    <w:p>
      <w:pPr>
        <w:pStyle w:val="TextBody"/>
        <w:bidi w:val="0"/>
        <w:jc w:val="center"/>
        <w:rPr/>
      </w:pPr>
      <w:r>
        <w:rPr/>
        <w:t> </w:t>
      </w:r>
      <w:r>
        <w:rPr/>
        <w:drawing>
          <wp:inline distT="0" distB="0" distL="0" distR="0">
            <wp:extent cx="85725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8572500" cy="1109662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8572500" cy="1109662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rPr>
      </w:pPr>
      <w:bookmarkStart w:id="628" w:name="ex19.htm"/>
      <w:bookmarkStart w:id="629" w:name="ksex19"/>
      <w:bookmarkEnd w:id="628"/>
      <w:bookmarkEnd w:id="62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6438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7620000" cy="1064387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087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9"/>
                    <a:stretch>
                      <a:fillRect/>
                    </a:stretch>
                  </pic:blipFill>
                  <pic:spPr bwMode="auto">
                    <a:xfrm>
                      <a:off x="0" y="0"/>
                      <a:ext cx="7620000" cy="110871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pPr>
      <w:bookmarkStart w:id="630" w:name="ex31-1.htm"/>
      <w:bookmarkStart w:id="631" w:name="ksex311"/>
      <w:bookmarkEnd w:id="630"/>
      <w:bookmarkEnd w:id="6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Zindrick, J.D.,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Genelux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365"/>
        <w:gridCol w:w="3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 J.D.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 J.D.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32" w:name="ex31-2.htm"/>
      <w:bookmarkStart w:id="633" w:name="ksex312"/>
      <w:bookmarkEnd w:id="632"/>
      <w:bookmarkEnd w:id="6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Pulisic,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Genelux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365"/>
        <w:gridCol w:w="37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Pulisic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Pulisic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34" w:name="ex32-1.htm"/>
      <w:bookmarkStart w:id="635" w:name="ksex321"/>
      <w:bookmarkEnd w:id="634"/>
      <w:bookmarkEnd w:id="6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“Exchange Act”) and Section 1350 of Chapter 63 of Title 18 of the United States Code (18 U.S.C. §1350), Thomas Zindrick, J.D., President and Chief Executive Officer of Genelux Corporation (the “Company”), and Matthew Pulisic, Chief Financial Officer of the Company, each hereby certifies that, to the best of his or her knowledge: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Company’s Quarterly Report on Form 10-Q for the period ended June 30, 2026, to which this Certification is attached as Exhibit 32.1 (the “Report”), fully complies with the requirements of Section 13(a) or Section 15(d) of the Exchange Act;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3980"/>
        <w:gridCol w:w="60"/>
        <w:gridCol w:w="3755"/>
      </w:tblGrid>
      <w:tr>
        <w:trPr/>
        <w:tc>
          <w:tcPr>
            <w:tcW w:w="3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Zindrick, J.D.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Pulisic</w:t>
            </w:r>
          </w:p>
        </w:tc>
      </w:tr>
      <w:tr>
        <w:trPr/>
        <w:tc>
          <w:tcPr>
            <w:tcW w:w="3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Zindrick, J.D.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Pulisic</w:t>
            </w:r>
          </w:p>
        </w:tc>
      </w:tr>
      <w:tr>
        <w:trPr/>
        <w:tc>
          <w:tcPr>
            <w:tcW w:w="3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980"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55"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Form 10-Q to which it relates, is not deemed filed with the Securities and Exchange Commission and is not to be incorporated by reference into any filing of Genelux Corporation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1457/000119312523019058/d389604dex31.htm" TargetMode="External"/><Relationship Id="rId3" Type="http://schemas.openxmlformats.org/officeDocument/2006/relationships/hyperlink" Target="https://www.sec.gov/Archives/edgar/data/1231457/000119312523019058/d389604dex32.htm" TargetMode="External"/><Relationship Id="rId4" Type="http://schemas.openxmlformats.org/officeDocument/2006/relationships/hyperlink" Target="https://www.sec.gov/Archives/edgar/data/1231457/000119312522232732/d300051dex41.htm" TargetMode="External"/><Relationship Id="rId5" Type="http://schemas.openxmlformats.org/officeDocument/2006/relationships/hyperlink" Target="https://www.sec.gov/Archives/edgar/data/1231457/000119312522246569/d300051dex11.htm" TargetMode="External"/><Relationship Id="rId6" Type="http://schemas.openxmlformats.org/officeDocument/2006/relationships/hyperlink" Target="https://www.sec.gov/Archives/edgar/data/1231457/000164117225000642/ex4-1.htm" TargetMode="External"/><Relationship Id="rId7" Type="http://schemas.openxmlformats.org/officeDocument/2006/relationships/hyperlink" Target="https://www.sec.gov/Archives/edgar/data/1231457/000149315224021265/ex4-1.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17265</Words>
  <Characters>95082</Characters>
  <CharactersWithSpaces>114312</CharactersWithSpaces>
  <Paragraphs>6575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