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Genelux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4260" w:type="dxa"/>
            <w:vAlign w:val="bottom"/>
          </w:tcPr>
          <w:p>
            <w:pPr>
              <w:jc w:val="center"/>
              <w:ind w:right="21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400" w:type="dxa"/>
            <w:vAlign w:val="bottom"/>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9"/>
              </w:rPr>
              <w:t>001-41599</w:t>
            </w:r>
          </w:p>
        </w:tc>
        <w:tc>
          <w:tcPr>
            <w:tcW w:w="2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77-0583529</w:t>
            </w:r>
          </w:p>
        </w:tc>
      </w:tr>
      <w:tr>
        <w:trPr>
          <w:trHeight w:val="216"/>
        </w:trPr>
        <w:tc>
          <w:tcPr>
            <w:tcW w:w="4260" w:type="dxa"/>
            <w:vAlign w:val="bottom"/>
          </w:tcPr>
          <w:p>
            <w:pPr>
              <w:jc w:val="center"/>
              <w:ind w:right="21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400" w:type="dxa"/>
            <w:vAlign w:val="bottom"/>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70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260" w:type="dxa"/>
            <w:vAlign w:val="bottom"/>
          </w:tcPr>
          <w:p>
            <w:pPr>
              <w:jc w:val="center"/>
              <w:ind w:right="21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2400" w:type="dxa"/>
            <w:vAlign w:val="bottom"/>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426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2625 Townsgate Road, Suite 230</w:t>
            </w:r>
          </w:p>
        </w:tc>
        <w:tc>
          <w:tcPr>
            <w:tcW w:w="240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6"/>
        </w:trPr>
        <w:tc>
          <w:tcPr>
            <w:tcW w:w="426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Westlake Village, California</w:t>
            </w:r>
          </w:p>
        </w:tc>
        <w:tc>
          <w:tcPr>
            <w:tcW w:w="2400" w:type="dxa"/>
            <w:vAlign w:val="bottom"/>
          </w:tcPr>
          <w:p>
            <w:pPr>
              <w:spacing w:after="0"/>
              <w:rPr>
                <w:sz w:val="18"/>
                <w:szCs w:val="18"/>
                <w:color w:val="auto"/>
              </w:rPr>
            </w:pPr>
          </w:p>
        </w:tc>
        <w:tc>
          <w:tcPr>
            <w:tcW w:w="27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91361</w:t>
            </w:r>
          </w:p>
        </w:tc>
      </w:tr>
      <w:tr>
        <w:trPr>
          <w:trHeight w:val="238"/>
        </w:trPr>
        <w:tc>
          <w:tcPr>
            <w:tcW w:w="6660" w:type="dxa"/>
            <w:vAlign w:val="bottom"/>
            <w:gridSpan w:val="2"/>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(805) 267-9889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40" w:type="dxa"/>
            <w:vAlign w:val="bottom"/>
          </w:tcPr>
          <w:p>
            <w:pPr>
              <w:spacing w:after="0"/>
              <w:rPr>
                <w:sz w:val="19"/>
                <w:szCs w:val="19"/>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GNLX</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On June 16, 2026, the Company held its 2026 Annual Meeting of Stockholders (the “</w:t>
      </w:r>
      <w:r>
        <w:rPr>
          <w:rFonts w:ascii="Times New Roman" w:cs="Times New Roman" w:eastAsia="Times New Roman" w:hAnsi="Times New Roman"/>
          <w:sz w:val="18"/>
          <w:szCs w:val="18"/>
          <w:i w:val="1"/>
          <w:iCs w:val="1"/>
          <w:color w:val="auto"/>
        </w:rPr>
        <w:t>Annual Meeting</w:t>
      </w:r>
      <w:r>
        <w:rPr>
          <w:rFonts w:ascii="Times New Roman" w:cs="Times New Roman" w:eastAsia="Times New Roman" w:hAnsi="Times New Roman"/>
          <w:sz w:val="18"/>
          <w:szCs w:val="18"/>
          <w:color w:val="auto"/>
        </w:rPr>
        <w:t>”). As of April 17, 2026, the record date for the Annual Meeting (the “</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44,842,243 shares of the Company’s Common Stock were outstanding and entitled to vote at the Annual Meeting. A summary of the matters voted upon by stockholders at the Annual Meeting is set forth below.</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total of 28,263,200 shares of the Company’s Common Stock were present at the Annual Meeting in person, by virtual attendance or by proxy, which represents approximately 63.03% of the shares of the Company’s Common Stock outstanding as of the Record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the person listed below as the Class I Director, to serve until the Company’s 2029 Annual Meeting of Stockholders and until their successor is duly elected and qualified or until their earlier death, resignation or removal. The final voting results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82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700" w:type="dxa"/>
            <w:vAlign w:val="bottom"/>
            <w:tcBorders>
              <w:top w:val="single" w:sz="8" w:color="auto"/>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John Smither</w:t>
            </w:r>
          </w:p>
        </w:tc>
        <w:tc>
          <w:tcPr>
            <w:tcW w:w="240" w:type="dxa"/>
            <w:vAlign w:val="bottom"/>
            <w:tcBorders>
              <w:top w:val="single" w:sz="8" w:color="CCECFF"/>
            </w:tcBorders>
            <w:shd w:val="clear" w:color="auto" w:fill="CCECFF"/>
          </w:tcPr>
          <w:p>
            <w:pPr>
              <w:spacing w:after="0"/>
              <w:rPr>
                <w:sz w:val="18"/>
                <w:szCs w:val="18"/>
                <w:color w:val="auto"/>
              </w:rPr>
            </w:pPr>
          </w:p>
        </w:tc>
        <w:tc>
          <w:tcPr>
            <w:tcW w:w="2580" w:type="dxa"/>
            <w:vAlign w:val="bottom"/>
            <w:tcBorders>
              <w:top w:val="single" w:sz="8" w:color="auto"/>
            </w:tcBorders>
            <w:shd w:val="clear" w:color="auto" w:fill="CCECFF"/>
          </w:tcPr>
          <w:p>
            <w:pPr>
              <w:ind w:left="940"/>
              <w:spacing w:after="0"/>
              <w:rPr>
                <w:sz w:val="20"/>
                <w:szCs w:val="20"/>
                <w:color w:val="auto"/>
              </w:rPr>
            </w:pPr>
            <w:r>
              <w:rPr>
                <w:rFonts w:ascii="Times New Roman" w:cs="Times New Roman" w:eastAsia="Times New Roman" w:hAnsi="Times New Roman"/>
                <w:sz w:val="18"/>
                <w:szCs w:val="18"/>
                <w:color w:val="auto"/>
              </w:rPr>
              <w:t>8,696,891</w:t>
            </w:r>
          </w:p>
        </w:tc>
        <w:tc>
          <w:tcPr>
            <w:tcW w:w="240" w:type="dxa"/>
            <w:vAlign w:val="bottom"/>
            <w:tcBorders>
              <w:top w:val="single" w:sz="8" w:color="CCECFF"/>
            </w:tcBorders>
            <w:shd w:val="clear" w:color="auto" w:fill="CCECFF"/>
          </w:tcPr>
          <w:p>
            <w:pPr>
              <w:spacing w:after="0"/>
              <w:rPr>
                <w:sz w:val="18"/>
                <w:szCs w:val="18"/>
                <w:color w:val="auto"/>
              </w:rPr>
            </w:pPr>
          </w:p>
        </w:tc>
        <w:tc>
          <w:tcPr>
            <w:tcW w:w="2580" w:type="dxa"/>
            <w:vAlign w:val="bottom"/>
            <w:tcBorders>
              <w:top w:val="single" w:sz="8" w:color="auto"/>
            </w:tcBorders>
            <w:shd w:val="clear" w:color="auto" w:fill="CCECFF"/>
          </w:tcPr>
          <w:p>
            <w:pPr>
              <w:jc w:val="right"/>
              <w:ind w:right="850"/>
              <w:spacing w:after="0"/>
              <w:rPr>
                <w:sz w:val="20"/>
                <w:szCs w:val="20"/>
                <w:color w:val="auto"/>
              </w:rPr>
            </w:pPr>
            <w:r>
              <w:rPr>
                <w:rFonts w:ascii="Times New Roman" w:cs="Times New Roman" w:eastAsia="Times New Roman" w:hAnsi="Times New Roman"/>
                <w:sz w:val="18"/>
                <w:szCs w:val="18"/>
                <w:color w:val="auto"/>
              </w:rPr>
              <w:t>3,393,408</w:t>
            </w:r>
          </w:p>
        </w:tc>
        <w:tc>
          <w:tcPr>
            <w:tcW w:w="220" w:type="dxa"/>
            <w:vAlign w:val="bottom"/>
            <w:tcBorders>
              <w:top w:val="single" w:sz="8" w:color="CCECFF"/>
            </w:tcBorders>
            <w:shd w:val="clear" w:color="auto" w:fill="CCECFF"/>
          </w:tcPr>
          <w:p>
            <w:pPr>
              <w:spacing w:after="0"/>
              <w:rPr>
                <w:sz w:val="18"/>
                <w:szCs w:val="18"/>
                <w:color w:val="auto"/>
              </w:rPr>
            </w:pPr>
          </w:p>
        </w:tc>
        <w:tc>
          <w:tcPr>
            <w:tcW w:w="2680" w:type="dxa"/>
            <w:vAlign w:val="bottom"/>
            <w:tcBorders>
              <w:top w:val="single" w:sz="8" w:color="auto"/>
            </w:tcBorders>
            <w:shd w:val="clear" w:color="auto" w:fill="CCECFF"/>
          </w:tcPr>
          <w:p>
            <w:pPr>
              <w:jc w:val="right"/>
              <w:ind w:right="850"/>
              <w:spacing w:after="0"/>
              <w:rPr>
                <w:sz w:val="20"/>
                <w:szCs w:val="20"/>
                <w:color w:val="auto"/>
              </w:rPr>
            </w:pPr>
            <w:r>
              <w:rPr>
                <w:rFonts w:ascii="Times New Roman" w:cs="Times New Roman" w:eastAsia="Times New Roman" w:hAnsi="Times New Roman"/>
                <w:sz w:val="18"/>
                <w:szCs w:val="18"/>
                <w:color w:val="auto"/>
              </w:rPr>
              <w:t>16,172,901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 Ratification of the Selection of Independent Registered Public Accounting Firm.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selection of Weinberg &amp; Company, P.A. by the Audit Committee of the Board as the Company’s independent registered public accounting firm for the fiscal year ending December 31, 2026. The final voting results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700" w:type="dxa"/>
            <w:vAlign w:val="bottom"/>
            <w:tcBorders>
              <w:top w:val="single" w:sz="8" w:color="auto"/>
            </w:tcBorders>
            <w:shd w:val="clear" w:color="auto" w:fill="CCECFF"/>
          </w:tcPr>
          <w:p>
            <w:pPr>
              <w:jc w:val="right"/>
              <w:ind w:right="850"/>
              <w:spacing w:after="0"/>
              <w:rPr>
                <w:sz w:val="20"/>
                <w:szCs w:val="20"/>
                <w:color w:val="auto"/>
              </w:rPr>
            </w:pPr>
            <w:r>
              <w:rPr>
                <w:rFonts w:ascii="Times New Roman" w:cs="Times New Roman" w:eastAsia="Times New Roman" w:hAnsi="Times New Roman"/>
                <w:sz w:val="18"/>
                <w:szCs w:val="18"/>
                <w:color w:val="auto"/>
              </w:rPr>
              <w:t>28,092,768</w:t>
            </w:r>
          </w:p>
        </w:tc>
        <w:tc>
          <w:tcPr>
            <w:tcW w:w="240" w:type="dxa"/>
            <w:vAlign w:val="bottom"/>
            <w:tcBorders>
              <w:top w:val="single" w:sz="8" w:color="CCECFF"/>
            </w:tcBorders>
            <w:shd w:val="clear" w:color="auto" w:fill="CCECFF"/>
          </w:tcPr>
          <w:p>
            <w:pPr>
              <w:spacing w:after="0"/>
              <w:rPr>
                <w:sz w:val="18"/>
                <w:szCs w:val="18"/>
                <w:color w:val="auto"/>
              </w:rPr>
            </w:pPr>
          </w:p>
        </w:tc>
        <w:tc>
          <w:tcPr>
            <w:tcW w:w="2580" w:type="dxa"/>
            <w:vAlign w:val="bottom"/>
            <w:tcBorders>
              <w:top w:val="single" w:sz="8" w:color="auto"/>
            </w:tcBorders>
            <w:shd w:val="clear" w:color="auto" w:fill="CCECFF"/>
          </w:tcPr>
          <w:p>
            <w:pPr>
              <w:jc w:val="right"/>
              <w:ind w:right="910"/>
              <w:spacing w:after="0"/>
              <w:rPr>
                <w:sz w:val="20"/>
                <w:szCs w:val="20"/>
                <w:color w:val="auto"/>
              </w:rPr>
            </w:pPr>
            <w:r>
              <w:rPr>
                <w:rFonts w:ascii="Times New Roman" w:cs="Times New Roman" w:eastAsia="Times New Roman" w:hAnsi="Times New Roman"/>
                <w:sz w:val="18"/>
                <w:szCs w:val="18"/>
                <w:color w:val="auto"/>
              </w:rPr>
              <w:t>105,158</w:t>
            </w:r>
          </w:p>
        </w:tc>
        <w:tc>
          <w:tcPr>
            <w:tcW w:w="240" w:type="dxa"/>
            <w:vAlign w:val="bottom"/>
            <w:tcBorders>
              <w:top w:val="single" w:sz="8" w:color="CCECFF"/>
            </w:tcBorders>
            <w:shd w:val="clear" w:color="auto" w:fill="CCECFF"/>
          </w:tcPr>
          <w:p>
            <w:pPr>
              <w:spacing w:after="0"/>
              <w:rPr>
                <w:sz w:val="18"/>
                <w:szCs w:val="18"/>
                <w:color w:val="auto"/>
              </w:rPr>
            </w:pPr>
          </w:p>
        </w:tc>
        <w:tc>
          <w:tcPr>
            <w:tcW w:w="2580" w:type="dxa"/>
            <w:vAlign w:val="bottom"/>
            <w:tcBorders>
              <w:top w:val="single" w:sz="8" w:color="auto"/>
            </w:tcBorders>
            <w:shd w:val="clear" w:color="auto" w:fill="CCECFF"/>
          </w:tcPr>
          <w:p>
            <w:pPr>
              <w:jc w:val="right"/>
              <w:ind w:right="950"/>
              <w:spacing w:after="0"/>
              <w:rPr>
                <w:sz w:val="20"/>
                <w:szCs w:val="20"/>
                <w:color w:val="auto"/>
              </w:rPr>
            </w:pPr>
            <w:r>
              <w:rPr>
                <w:rFonts w:ascii="Times New Roman" w:cs="Times New Roman" w:eastAsia="Times New Roman" w:hAnsi="Times New Roman"/>
                <w:sz w:val="18"/>
                <w:szCs w:val="18"/>
                <w:color w:val="auto"/>
              </w:rPr>
              <w:t>65,274</w:t>
            </w:r>
          </w:p>
        </w:tc>
        <w:tc>
          <w:tcPr>
            <w:tcW w:w="220" w:type="dxa"/>
            <w:vAlign w:val="bottom"/>
            <w:tcBorders>
              <w:top w:val="single" w:sz="8" w:color="CCECFF"/>
            </w:tcBorders>
            <w:shd w:val="clear" w:color="auto" w:fill="CCECFF"/>
          </w:tcPr>
          <w:p>
            <w:pPr>
              <w:spacing w:after="0"/>
              <w:rPr>
                <w:sz w:val="18"/>
                <w:szCs w:val="18"/>
                <w:color w:val="auto"/>
              </w:rPr>
            </w:pPr>
          </w:p>
        </w:tc>
        <w:tc>
          <w:tcPr>
            <w:tcW w:w="2680" w:type="dxa"/>
            <w:vAlign w:val="bottom"/>
            <w:tcBorders>
              <w:top w:val="single" w:sz="8" w:color="auto"/>
            </w:tcBorders>
            <w:shd w:val="clear" w:color="auto" w:fill="CCECFF"/>
          </w:tcPr>
          <w:p>
            <w:pPr>
              <w:jc w:val="right"/>
              <w:ind w:right="121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2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Genelux Corporation</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Thomas Zindrick, J.D.</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Thomas Zindrick, J.D.</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2026-06-22T16:23:40Z</dcterms:created>
  <dcterms:modified xsi:type="dcterms:W3CDTF">2026-06-22T16:23:40Z</dcterms:modified>
</cp:coreProperties>
</file>