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 INFORMATION</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(Amendment No.__)</w:t>
      </w:r>
    </w:p>
    <w:p>
      <w:pPr>
        <w:sectPr>
          <w:pgSz w:w="11900" w:h="16838" w:orient="portrait"/>
          <w:cols w:equalWidth="0" w:num="1">
            <w:col w:w="10139"/>
          </w:cols>
          <w:pgMar w:left="320" w:top="700" w:right="1440" w:bottom="1440" w:gutter="0" w:footer="0" w:header="0"/>
        </w:sectPr>
      </w:pP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2">
            <w:col w:w="3780" w:space="720"/>
            <w:col w:w="5639"/>
          </w:cols>
          <w:pgMar w:left="320" w:top="700" w:right="1440"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139"/>
          </w:cols>
          <w:pgMar w:left="320" w:top="700" w:right="1440" w:bottom="1440" w:gutter="0" w:footer="0" w:header="0"/>
          <w:type w:val="continuous"/>
        </w:sectPr>
      </w:pPr>
    </w:p>
    <w:p>
      <w:pPr>
        <w:spacing w:after="0" w:line="219"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right="4059" w:firstLine="1"/>
        <w:spacing w:after="0" w:line="202" w:lineRule="exact"/>
        <w:tabs>
          <w:tab w:leader="none" w:pos="60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GENELUX CORPORATION</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600" w:hanging="599"/>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 w:lineRule="exact"/>
        <w:rPr>
          <w:sz w:val="24"/>
          <w:szCs w:val="24"/>
          <w:color w:val="auto"/>
        </w:rPr>
      </w:pPr>
    </w:p>
    <w:p>
      <w:pPr>
        <w:ind w:left="600" w:hanging="5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2" w:lineRule="exact"/>
        <w:rPr>
          <w:rFonts w:ascii="MS PGothic" w:cs="MS PGothic" w:eastAsia="MS PGothic" w:hAnsi="MS PGothic"/>
          <w:sz w:val="17"/>
          <w:szCs w:val="17"/>
          <w:color w:val="auto"/>
        </w:rPr>
      </w:pPr>
    </w:p>
    <w:p>
      <w:pPr>
        <w:ind w:left="600" w:hanging="5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147320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451485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GENELUX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2625 Townsgate Road, Suite 230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Westlake Village, California 91361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132080</wp:posOffset>
            </wp:positionV>
            <wp:extent cx="2401570" cy="624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1570" cy="62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16, 2026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 8:00 a.m. Pacific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You are cordially invited to attend the 2026 Annual Meeting of Stockholders (including any adjournments, continuations or postponements thereof, the “Annual Meeting”) of </w:t>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1"/>
          <w:szCs w:val="11"/>
          <w:b w:val="1"/>
          <w:bCs w:val="1"/>
          <w:color w:val="auto"/>
        </w:rPr>
        <w:t>enelux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orporation</w:t>
      </w:r>
      <w:r>
        <w:rPr>
          <w:rFonts w:ascii="Times New Roman" w:cs="Times New Roman" w:eastAsia="Times New Roman" w:hAnsi="Times New Roman"/>
          <w:sz w:val="17"/>
          <w:szCs w:val="17"/>
          <w:color w:val="auto"/>
        </w:rPr>
        <w:t xml:space="preserve">, a Delaware corporation (the “Company”). The Annual Meeting will be held virtually on Tuesday, June 16, 2026 at 8:00 a.m. Pacific Time via live webcast at </w:t>
      </w:r>
      <w:r>
        <w:rPr>
          <w:rFonts w:ascii="Times New Roman" w:cs="Times New Roman" w:eastAsia="Times New Roman" w:hAnsi="Times New Roman"/>
          <w:sz w:val="17"/>
          <w:szCs w:val="17"/>
          <w:u w:val="single" w:color="auto"/>
          <w:color w:val="auto"/>
        </w:rPr>
        <w:t>https://edge.media-server.com/mmc/p/j3zspvj4</w:t>
      </w:r>
      <w:r>
        <w:rPr>
          <w:rFonts w:ascii="Times New Roman" w:cs="Times New Roman" w:eastAsia="Times New Roman" w:hAnsi="Times New Roman"/>
          <w:sz w:val="17"/>
          <w:szCs w:val="17"/>
          <w:color w:val="auto"/>
        </w:rPr>
        <w:t>. For additional instructions on how to attend the Annual Meeting, please review the accompanying Proxy Statement for the Annual Meeting (the “Proxy Statement”). The Annual Meeting will be held for the following purposes:</w:t>
      </w:r>
    </w:p>
    <w:p>
      <w:pPr>
        <w:spacing w:after="0" w:line="175" w:lineRule="exact"/>
        <w:rPr>
          <w:sz w:val="20"/>
          <w:szCs w:val="20"/>
          <w:color w:val="auto"/>
        </w:rPr>
      </w:pPr>
    </w:p>
    <w:p>
      <w:pPr>
        <w:ind w:firstLine="1"/>
        <w:spacing w:after="0" w:line="274" w:lineRule="auto"/>
        <w:tabs>
          <w:tab w:leader="none" w:pos="17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elect the one nominee for Class I director named herein, to hold office until the Company’s 2029 Annual Meeting of Stockholders and until their successor is duly elected and qualified, or until their earlier death, resignation or removal.</w:t>
      </w:r>
    </w:p>
    <w:p>
      <w:pPr>
        <w:spacing w:after="0" w:line="158" w:lineRule="exact"/>
        <w:rPr>
          <w:rFonts w:ascii="Times New Roman" w:cs="Times New Roman" w:eastAsia="Times New Roman" w:hAnsi="Times New Roman"/>
          <w:sz w:val="17"/>
          <w:szCs w:val="17"/>
          <w:b w:val="1"/>
          <w:bCs w:val="1"/>
          <w:color w:val="auto"/>
        </w:rPr>
      </w:pPr>
    </w:p>
    <w:p>
      <w:pPr>
        <w:ind w:firstLine="1"/>
        <w:spacing w:after="0" w:line="274" w:lineRule="auto"/>
        <w:tabs>
          <w:tab w:leader="none" w:pos="168"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ratify the appointment by the Audit Committee of the Board of Directors of Weinberg &amp; Company, P.A. as the independent registered public accounting firm of the Company for its fiscal year ending December 31, 2026.</w:t>
      </w:r>
    </w:p>
    <w:p>
      <w:pPr>
        <w:spacing w:after="0" w:line="158" w:lineRule="exact"/>
        <w:rPr>
          <w:rFonts w:ascii="Times New Roman" w:cs="Times New Roman" w:eastAsia="Times New Roman" w:hAnsi="Times New Roman"/>
          <w:sz w:val="17"/>
          <w:szCs w:val="17"/>
          <w:b w:val="1"/>
          <w:bCs w:val="1"/>
          <w:color w:val="auto"/>
        </w:rPr>
      </w:pPr>
    </w:p>
    <w:p>
      <w:pPr>
        <w:ind w:left="160" w:hanging="159"/>
        <w:spacing w:after="0"/>
        <w:tabs>
          <w:tab w:leader="none" w:pos="1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conduct any other business properly brought before the Annual Meeting.</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These items of business are more fully described in the Proxy Statement. The Annual Meeting will be held virtually through a live webcast. Stockholders of record at the close of business on April 17, 2026 and their proxy holders will be able to attend the Annual Meeting virtually, submit questions, and vote during the live webcast by visiting </w:t>
      </w:r>
      <w:r>
        <w:rPr>
          <w:rFonts w:ascii="Times New Roman" w:cs="Times New Roman" w:eastAsia="Times New Roman" w:hAnsi="Times New Roman"/>
          <w:sz w:val="17"/>
          <w:szCs w:val="17"/>
          <w:u w:val="single" w:color="auto"/>
          <w:color w:val="auto"/>
        </w:rPr>
        <w:t>https://edge.media-server.com/mmc/p/j3zspvj4</w:t>
      </w:r>
      <w:r>
        <w:rPr>
          <w:rFonts w:ascii="Times New Roman" w:cs="Times New Roman" w:eastAsia="Times New Roman" w:hAnsi="Times New Roman"/>
          <w:sz w:val="17"/>
          <w:szCs w:val="17"/>
          <w:color w:val="auto"/>
        </w:rPr>
        <w:t xml:space="preserve"> and entering the control number included in your Notice of Internet Availability of Proxy Materials (“Notice of Internet Availability”) or in the instructions that you received via email. Please refer to the additional logistical details and recommendations in the Proxy Statement. Online check-in will begin at 7:30 a.m. Pacific Time, on Tuesday, June 16, 2026.</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record date for the Annual Meeting is April 17, 2026. Only stockholders of record at the close of business on that date and their proxy holders may vote at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7146290" cy="925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925195"/>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Stockholders’ Meeting to Be Held on Tuesday, June 16, 2026 at 8:00 a.m. Pacific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Time through a live webcast at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https://edge.media-server.com/mmc/p/j3zspvj4</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The Proxy Statement and Annual Report are available at </w:t>
      </w:r>
      <w:r>
        <w:rPr>
          <w:rFonts w:ascii="Times New Roman" w:cs="Times New Roman" w:eastAsia="Times New Roman" w:hAnsi="Times New Roman"/>
          <w:sz w:val="17"/>
          <w:szCs w:val="17"/>
          <w:u w:val="single" w:color="auto"/>
          <w:color w:val="auto"/>
        </w:rPr>
        <w:t>http://www.astproxyportal.com/ast/27213</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Thomas D. Zindrick, J.D.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D. Zindrick,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570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President, Chief Executive Officer and Chairman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Westlake Village,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46290" cy="1045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1045210"/>
                    </a:xfrm>
                    <a:prstGeom prst="rect">
                      <a:avLst/>
                    </a:prstGeom>
                    <a:noFill/>
                  </pic:spPr>
                </pic:pic>
              </a:graphicData>
            </a:graphic>
          </wp:anchor>
        </w:drawing>
      </w:r>
    </w:p>
    <w:p>
      <w:pPr>
        <w:spacing w:after="0" w:line="382"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Annual Meeting online. Whether or not you expect to attend the Annual Meeting, please complete, date, sign and return the proxy card if one is mailed to you, or vote over the telephone or the internet as instructed in these materials, as promptly as possible in order to ensure your representation at the Annual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 Please contact your broker, bank or other nominee for information about specific requirements if you would like to vote your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393700</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GENELUX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2625 Townsgate Road, Suite 230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Westlake Village, California 91361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2026 ANNUAL MEETING OF STOCKHOLDERS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 Be Held On June 16, 2026</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MEETING AGENDA</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29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7"/>
                <w:szCs w:val="17"/>
                <w:b w:val="1"/>
                <w:bCs w:val="1"/>
                <w:color w:val="auto"/>
              </w:rPr>
              <w:t>Proposals</w:t>
            </w:r>
          </w:p>
        </w:tc>
        <w:tc>
          <w:tcPr>
            <w:tcW w:w="24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220" w:type="dxa"/>
            <w:vAlign w:val="bottom"/>
          </w:tcPr>
          <w:p>
            <w:pPr>
              <w:spacing w:after="0"/>
              <w:rPr>
                <w:sz w:val="24"/>
                <w:szCs w:val="24"/>
                <w:color w:val="auto"/>
              </w:rPr>
            </w:pPr>
          </w:p>
        </w:tc>
        <w:tc>
          <w:tcPr>
            <w:tcW w:w="4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7"/>
                <w:szCs w:val="17"/>
                <w:b w:val="1"/>
                <w:bCs w:val="1"/>
                <w:color w:val="auto"/>
              </w:rPr>
              <w:t>Voting Standard</w:t>
            </w:r>
          </w:p>
        </w:tc>
        <w:tc>
          <w:tcPr>
            <w:tcW w:w="2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Board Recommendation</w:t>
            </w:r>
          </w:p>
        </w:tc>
      </w:tr>
      <w:tr>
        <w:trPr>
          <w:trHeight w:val="178"/>
        </w:trPr>
        <w:tc>
          <w:tcPr>
            <w:tcW w:w="20" w:type="dxa"/>
            <w:vAlign w:val="bottom"/>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Proposal 1: Election of Director</w:t>
            </w:r>
          </w:p>
        </w:tc>
        <w:tc>
          <w:tcPr>
            <w:tcW w:w="1140" w:type="dxa"/>
            <w:vAlign w:val="bottom"/>
            <w:gridSpan w:val="2"/>
            <w:shd w:val="clear" w:color="auto" w:fill="CCEEFF"/>
          </w:tcPr>
          <w:p>
            <w:pPr>
              <w:jc w:val="right"/>
              <w:ind w:right="336"/>
              <w:spacing w:after="0" w:line="178" w:lineRule="exact"/>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w w:val="98"/>
              </w:rPr>
              <w:t>Plurality of the votes of the shares present virtually, or represented</w:t>
            </w:r>
          </w:p>
        </w:tc>
        <w:tc>
          <w:tcPr>
            <w:tcW w:w="22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the Class I director</w:t>
            </w: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by proxy, at the Annual Meeting and entitled to vote generally on</w:t>
            </w: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nominee named in the Proxy</w:t>
            </w: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election of directors</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Statement</w:t>
            </w:r>
          </w:p>
        </w:tc>
      </w:tr>
      <w:tr>
        <w:trPr>
          <w:trHeight w:val="185"/>
        </w:trPr>
        <w:tc>
          <w:tcPr>
            <w:tcW w:w="20" w:type="dxa"/>
            <w:vAlign w:val="bottom"/>
          </w:tcPr>
          <w:p>
            <w:pPr>
              <w:spacing w:after="0"/>
              <w:rPr>
                <w:sz w:val="16"/>
                <w:szCs w:val="16"/>
                <w:color w:val="auto"/>
              </w:rPr>
            </w:pPr>
          </w:p>
        </w:tc>
        <w:tc>
          <w:tcPr>
            <w:tcW w:w="2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Proposal 2: Ratification of Independent</w:t>
            </w:r>
          </w:p>
        </w:tc>
        <w:tc>
          <w:tcPr>
            <w:tcW w:w="1140" w:type="dxa"/>
            <w:vAlign w:val="bottom"/>
            <w:gridSpan w:val="2"/>
          </w:tcPr>
          <w:p>
            <w:pPr>
              <w:jc w:val="right"/>
              <w:ind w:right="276"/>
              <w:spacing w:after="0" w:line="185" w:lineRule="exact"/>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6"/>
                <w:szCs w:val="16"/>
                <w:color w:val="auto"/>
              </w:rPr>
            </w:pPr>
          </w:p>
        </w:tc>
        <w:tc>
          <w:tcPr>
            <w:tcW w:w="4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8"/>
              </w:rPr>
              <w:t>Majority of shares present virtually, or represented by proxy, at the</w:t>
            </w:r>
          </w:p>
        </w:tc>
        <w:tc>
          <w:tcPr>
            <w:tcW w:w="220" w:type="dxa"/>
            <w:vAlign w:val="bottom"/>
          </w:tcPr>
          <w:p>
            <w:pPr>
              <w:spacing w:after="0"/>
              <w:rPr>
                <w:sz w:val="16"/>
                <w:szCs w:val="16"/>
                <w:color w:val="auto"/>
              </w:rPr>
            </w:pPr>
          </w:p>
        </w:tc>
        <w:tc>
          <w:tcPr>
            <w:tcW w:w="22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w:t>
            </w:r>
          </w:p>
        </w:tc>
      </w:tr>
      <w:tr>
        <w:trPr>
          <w:trHeight w:val="202"/>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Registered Public Accounting Firm</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Annual Meeting and entitled to vote generally on the subject</w:t>
            </w: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matter</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29"/>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20" w:type="dxa"/>
            <w:vAlign w:val="bottom"/>
            <w:gridSpan w:val="6"/>
          </w:tcPr>
          <w:p>
            <w:pPr>
              <w:ind w:left="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40" w:type="dxa"/>
            <w:vAlign w:val="bottom"/>
            <w:tcBorders>
              <w:bottom w:val="single" w:sz="8" w:color="0000EE"/>
            </w:tcBorders>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7"/>
              </w:rPr>
              <w:t>QUESTIONS AND ANSWERS ABOUT THESE PROXY MATERIALS AND VOTING</w:t>
            </w:r>
          </w:p>
        </w:tc>
        <w:tc>
          <w:tcPr>
            <w:tcW w:w="3560" w:type="dxa"/>
            <w:vAlign w:val="bottom"/>
            <w:tcBorders>
              <w:bottom w:val="single" w:sz="8" w:color="CCEEFF"/>
            </w:tcBorders>
            <w:gridSpan w:val="4"/>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60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color w:val="0000EE"/>
              </w:rPr>
              <w:t>PROPOSAL 1 ELECTION OF DIRECTOR</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60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INFORMATION REGARDING THE BOARD OF DIRECTORS AND CORPORATE GOVERNANCE</w:t>
            </w:r>
          </w:p>
        </w:tc>
        <w:tc>
          <w:tcPr>
            <w:tcW w:w="1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680" w:type="dxa"/>
            <w:vAlign w:val="bottom"/>
            <w:tcBorders>
              <w:top w:val="single" w:sz="8" w:color="0000EE"/>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w w:val="98"/>
              </w:rPr>
              <w:t>Independence of the Board of Directors</w:t>
            </w:r>
          </w:p>
        </w:tc>
        <w:tc>
          <w:tcPr>
            <w:tcW w:w="4200" w:type="dxa"/>
            <w:vAlign w:val="bottom"/>
            <w:tcBorders>
              <w:top w:val="single" w:sz="8" w:color="0000EE"/>
            </w:tcBorders>
            <w:gridSpan w:val="12"/>
          </w:tcPr>
          <w:p>
            <w:pPr>
              <w:spacing w:after="0"/>
              <w:rPr>
                <w:sz w:val="14"/>
                <w:szCs w:val="14"/>
                <w:color w:val="auto"/>
              </w:rPr>
            </w:pPr>
          </w:p>
        </w:tc>
        <w:tc>
          <w:tcPr>
            <w:tcW w:w="2580" w:type="dxa"/>
            <w:vAlign w:val="bottom"/>
            <w:tcBorders>
              <w:top w:val="single" w:sz="8" w:color="CCEEFF"/>
            </w:tcBorders>
            <w:gridSpan w:val="2"/>
          </w:tcPr>
          <w:p>
            <w:pPr>
              <w:spacing w:after="0"/>
              <w:rPr>
                <w:sz w:val="14"/>
                <w:szCs w:val="14"/>
                <w:color w:val="auto"/>
              </w:rPr>
            </w:pPr>
          </w:p>
        </w:tc>
        <w:tc>
          <w:tcPr>
            <w:tcW w:w="162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6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Board Leadership Structure</w:t>
            </w:r>
          </w:p>
        </w:tc>
        <w:tc>
          <w:tcPr>
            <w:tcW w:w="1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Borders>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8"/>
              </w:rPr>
              <w:t>Role of the Board in Risk Oversight</w:t>
            </w:r>
          </w:p>
        </w:tc>
        <w:tc>
          <w:tcPr>
            <w:tcW w:w="7020" w:type="dxa"/>
            <w:vAlign w:val="bottom"/>
            <w:gridSpan w:val="15"/>
          </w:tcPr>
          <w:p>
            <w:pPr>
              <w:spacing w:after="0"/>
              <w:rPr>
                <w:sz w:val="14"/>
                <w:szCs w:val="14"/>
                <w:color w:val="auto"/>
              </w:rPr>
            </w:pP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0000EE"/>
              <w:right w:val="single" w:sz="8" w:color="CCEEFF"/>
            </w:tcBorders>
            <w:gridSpan w:val="11"/>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Commitment to Corporate Responsibility</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60" w:type="dxa"/>
            <w:vAlign w:val="bottom"/>
            <w:gridSpan w:val="24"/>
          </w:tcPr>
          <w:p>
            <w:pPr>
              <w:spacing w:after="0" w:line="164" w:lineRule="exact"/>
              <w:rPr>
                <w:sz w:val="20"/>
                <w:szCs w:val="20"/>
                <w:color w:val="auto"/>
              </w:rPr>
            </w:pPr>
            <w:r>
              <w:rPr>
                <w:rFonts w:ascii="Times New Roman" w:cs="Times New Roman" w:eastAsia="Times New Roman" w:hAnsi="Times New Roman"/>
                <w:sz w:val="17"/>
                <w:szCs w:val="17"/>
                <w:color w:val="0000EE"/>
              </w:rPr>
              <w:t>Meetings of the Board of Directors</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Information Regarding Committees of the Board of Directors</w:t>
            </w:r>
          </w:p>
        </w:tc>
        <w:tc>
          <w:tcPr>
            <w:tcW w:w="5320" w:type="dxa"/>
            <w:vAlign w:val="bottom"/>
            <w:tcBorders>
              <w:bottom w:val="single" w:sz="8" w:color="CCEEFF"/>
            </w:tcBorders>
            <w:gridSpan w:val="6"/>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8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Audit Committee</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Compensation Committee</w:t>
            </w:r>
          </w:p>
        </w:tc>
        <w:tc>
          <w:tcPr>
            <w:tcW w:w="7520" w:type="dxa"/>
            <w:vAlign w:val="bottom"/>
            <w:tcBorders>
              <w:bottom w:val="single" w:sz="8" w:color="CCEEFF"/>
            </w:tcBorders>
            <w:gridSpan w:val="17"/>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8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Nominating and Corporate Governance Committee</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940" w:type="dxa"/>
            <w:vAlign w:val="bottom"/>
            <w:tcBorders>
              <w:bottom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Stockholder Communications With the Board of Directors</w:t>
            </w:r>
          </w:p>
        </w:tc>
        <w:tc>
          <w:tcPr>
            <w:tcW w:w="5520" w:type="dxa"/>
            <w:vAlign w:val="bottom"/>
            <w:tcBorders>
              <w:bottom w:val="single" w:sz="8" w:color="CCEEFF"/>
            </w:tcBorders>
            <w:gridSpan w:val="7"/>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8"/>
              </w:rPr>
              <w:t>Code of Conduct</w:t>
            </w:r>
          </w:p>
        </w:tc>
        <w:tc>
          <w:tcPr>
            <w:tcW w:w="8300" w:type="dxa"/>
            <w:vAlign w:val="bottom"/>
            <w:gridSpan w:val="22"/>
          </w:tcPr>
          <w:p>
            <w:pPr>
              <w:spacing w:after="0"/>
              <w:rPr>
                <w:sz w:val="14"/>
                <w:szCs w:val="14"/>
                <w:color w:val="auto"/>
              </w:rPr>
            </w:pP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tcBorders>
              <w:bottom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INSIDER TRADING POLICY AND HEDGING POLICY</w:t>
            </w:r>
          </w:p>
        </w:tc>
        <w:tc>
          <w:tcPr>
            <w:tcW w:w="5640" w:type="dxa"/>
            <w:vAlign w:val="bottom"/>
            <w:tcBorders>
              <w:bottom w:val="single" w:sz="8" w:color="CCEEFF"/>
            </w:tcBorders>
            <w:gridSpan w:val="8"/>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60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color w:val="0000EE"/>
              </w:rPr>
              <w:t>PROPOSAL 2 RATIFICATION OF SELECTION OF INDEPENDENT REGISTERED PUBLIC ACCOUNTING FIRM</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40" w:type="dxa"/>
            <w:vAlign w:val="bottom"/>
            <w:tcBorders>
              <w:top w:val="single" w:sz="8" w:color="0000EE"/>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EXECUTIVE OFFICERS</w:t>
            </w:r>
          </w:p>
        </w:tc>
        <w:tc>
          <w:tcPr>
            <w:tcW w:w="14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60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60" w:type="dxa"/>
            <w:vAlign w:val="bottom"/>
            <w:tcBorders>
              <w:top w:val="single" w:sz="8" w:color="0000EE"/>
            </w:tcBorders>
            <w:gridSpan w:val="2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EXECUTIVE AND DIRECTOR COMPENSATION</w:t>
            </w:r>
          </w:p>
        </w:tc>
        <w:tc>
          <w:tcPr>
            <w:tcW w:w="3340" w:type="dxa"/>
            <w:vAlign w:val="bottom"/>
            <w:gridSpan w:val="3"/>
            <w:shd w:val="clear" w:color="auto" w:fill="CCEEFF"/>
          </w:tcPr>
          <w:p>
            <w:pPr>
              <w:spacing w:after="0"/>
              <w:rPr>
                <w:sz w:val="15"/>
                <w:szCs w:val="15"/>
                <w:color w:val="auto"/>
              </w:rPr>
            </w:pPr>
          </w:p>
        </w:tc>
        <w:tc>
          <w:tcPr>
            <w:tcW w:w="1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6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w w:val="97"/>
              </w:rPr>
              <w:t>TRANSACTIONS WITH RELATED PERSONS AND INDEMNIFICATION</w:t>
            </w:r>
          </w:p>
        </w:tc>
        <w:tc>
          <w:tcPr>
            <w:tcW w:w="4340" w:type="dxa"/>
            <w:vAlign w:val="bottom"/>
            <w:gridSpan w:val="5"/>
          </w:tcPr>
          <w:p>
            <w:pPr>
              <w:spacing w:after="0"/>
              <w:rPr>
                <w:sz w:val="14"/>
                <w:szCs w:val="14"/>
                <w:color w:val="auto"/>
              </w:rPr>
            </w:pP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tcBorders>
              <w:bottom w:val="single" w:sz="8" w:color="0000EE"/>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DELINQUENT SECTION 16(A) REPORTS</w:t>
            </w:r>
          </w:p>
        </w:tc>
        <w:tc>
          <w:tcPr>
            <w:tcW w:w="6580" w:type="dxa"/>
            <w:vAlign w:val="bottom"/>
            <w:tcBorders>
              <w:bottom w:val="single" w:sz="8" w:color="CCEEFF"/>
            </w:tcBorders>
            <w:gridSpan w:val="12"/>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7"/>
                <w:szCs w:val="17"/>
                <w:color w:val="0000EE"/>
                <w:w w:val="97"/>
              </w:rPr>
              <w:t>HOUSEHOLDING OF PROXY MATERIALS</w:t>
            </w:r>
          </w:p>
        </w:tc>
        <w:tc>
          <w:tcPr>
            <w:tcW w:w="6440" w:type="dxa"/>
            <w:vAlign w:val="bottom"/>
            <w:gridSpan w:val="11"/>
          </w:tcPr>
          <w:p>
            <w:pPr>
              <w:spacing w:after="0"/>
              <w:rPr>
                <w:sz w:val="14"/>
                <w:szCs w:val="14"/>
                <w:color w:val="auto"/>
              </w:rPr>
            </w:pP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40" w:type="dxa"/>
            <w:vAlign w:val="bottom"/>
            <w:tcBorders>
              <w:bottom w:val="single" w:sz="8" w:color="0000EE"/>
              <w:right w:val="single" w:sz="8" w:color="CCEE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ADDITIONAL FILINGS</w:t>
            </w:r>
          </w:p>
        </w:tc>
        <w:tc>
          <w:tcPr>
            <w:tcW w:w="7860" w:type="dxa"/>
            <w:vAlign w:val="bottom"/>
            <w:tcBorders>
              <w:bottom w:val="single" w:sz="8" w:color="CCEEFF"/>
            </w:tcBorders>
            <w:gridSpan w:val="19"/>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60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color w:val="0000EE"/>
              </w:rPr>
              <w:t>OTHER MATTERS</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THESE PROXY MATERIALS AND VOTING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proxy materials?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proxy materials are furnished in connection with the solicitation of proxies by the Board of Directors (the “Board”) of Genelux Corporation, a Delaware corporation (“Genelux,” the “Company,” “we,” “us” or “our”), for use at our 2026 Annual Meeting of Stockholders (including any adjournments, continuations or postponements thereof, the “Annual Meeting”) to be held on Tuesday, June 16, 2026 at 8:00 a.m. Pacific Time via live webcast by accessing </w:t>
      </w:r>
      <w:r>
        <w:rPr>
          <w:rFonts w:ascii="Times New Roman" w:cs="Times New Roman" w:eastAsia="Times New Roman" w:hAnsi="Times New Roman"/>
          <w:sz w:val="17"/>
          <w:szCs w:val="17"/>
          <w:u w:val="single" w:color="auto"/>
          <w:color w:val="auto"/>
        </w:rPr>
        <w:t>https://edge.media-server.com/mmc/p/j3zspvj4</w:t>
      </w:r>
      <w:r>
        <w:rPr>
          <w:rFonts w:ascii="Times New Roman" w:cs="Times New Roman" w:eastAsia="Times New Roman" w:hAnsi="Times New Roman"/>
          <w:sz w:val="17"/>
          <w:szCs w:val="17"/>
          <w:color w:val="auto"/>
        </w:rPr>
        <w:t xml:space="preserve"> in advance of the Annual Meeting, and completing the online registration, which requires that you provide the control number included on your Notice of Internet Availability of Proxy Materials (“Notice of Internet Availability”), proxy card, or voting instruction form.</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proxy materials include the Notice of Internet Availability, this Proxy Statement for the Annual Meeting (this “Proxy Statement”), our Annual Report on Form 10-K for the fiscal year ended December 31, 2025, filed with the Securities and Exchange Commission (“SEC”) on March 19, 2026 (our “Annual Report”), and the proxy card or, for shares held in street name (held for your account by a broker, bank or other nominee), a voting instruction form, for the Annual Meeting. As a stockholder, you are invited to attend the Annual Meeting virtually and are requested to vote on the items of business described in this Proxy Statement. This Proxy Statement includes information that we are required to provide to you under SEC rules and is designed to assist you in voting your shares.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Pursuant to the “notice and access” rules adopted by the SEC, we have elected to provide access to our proxy materials to our stockholders via the internet. Accordingly, on or about May 1, 2026, we will mail a Notice of Internet Availability to stockholders entitled to vote at the Annual Meeting containing instructions on how to access the proxy materials and how to vote. Please follow the instructions on the Notice of Internet Availability for requesting paper or e-mail copies of our proxy materials. In addition, stockholders of record may request to receive proxy materials in printed form by mail or electronically by e-mail on an ongoing basis for future stockholder meetings. We believe electronic delivery will expedite the receipt of the proxy materials and will help lower the costs of our proxy materials. Please note that, while our proxy materials are available at the website referenced in the Notice of Internet Availability and on our website, no information contained on either website is incorporated by reference into or considered to be a part of this document.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 I receive any other proxy materials by mail?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may send you a proxy card, along with a second Notice of Internet Availability, after 10 calendar days have passed since our first mailing of the Notice of Internet Availability.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attend and ask questions during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Annual Meeting will be held virtually on Tuesday, June 16, 2026 at 8:00 a.m. Pacific Time via live webcast at </w:t>
      </w:r>
      <w:r>
        <w:rPr>
          <w:rFonts w:ascii="Times New Roman" w:cs="Times New Roman" w:eastAsia="Times New Roman" w:hAnsi="Times New Roman"/>
          <w:sz w:val="17"/>
          <w:szCs w:val="17"/>
          <w:u w:val="single" w:color="auto"/>
          <w:color w:val="auto"/>
        </w:rPr>
        <w:t>https://edge.media-server.com/mmc/p/j3zspvj4</w:t>
      </w:r>
      <w:r>
        <w:rPr>
          <w:rFonts w:ascii="Times New Roman" w:cs="Times New Roman" w:eastAsia="Times New Roman" w:hAnsi="Times New Roman"/>
          <w:sz w:val="17"/>
          <w:szCs w:val="17"/>
          <w:color w:val="auto"/>
        </w:rPr>
        <w:t>. We encourage you to access the Annual Meeting prior to the start time. Online check-in will begin at 7:30 a.m. Pacific Time, and you should allow reasonable time for the check-in procedures.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You are entitled to attend the Annual Meeting if you were a stockholder as of the close of business on April 17, 2026 (the “Record Date”) or hold a valid proxy for the Annual Meeting. As part of the registration process, you must enter the control number located on your Notice of Internet Availability, proxy card or voting instruction form. If you are a beneficial owner of shares registered in the name of a broker, bank or other nominee, you should contact your broker, bank or other nominee to receive a control number in order to join the Annual Meeting.</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You may submit a question relevant to the proposals to be voted on at the Annual Meeting up to one hour in advance of the Annual Meeting at </w:t>
      </w:r>
      <w:r>
        <w:rPr>
          <w:rFonts w:ascii="Times New Roman" w:cs="Times New Roman" w:eastAsia="Times New Roman" w:hAnsi="Times New Roman"/>
          <w:sz w:val="17"/>
          <w:szCs w:val="17"/>
          <w:u w:val="single" w:color="auto"/>
          <w:color w:val="auto"/>
        </w:rPr>
        <w:t>http://www.astproxyportal.com/ast/27213</w:t>
      </w:r>
      <w:r>
        <w:rPr>
          <w:rFonts w:ascii="Times New Roman" w:cs="Times New Roman" w:eastAsia="Times New Roman" w:hAnsi="Times New Roman"/>
          <w:sz w:val="17"/>
          <w:szCs w:val="17"/>
          <w:color w:val="auto"/>
        </w:rPr>
        <w:t xml:space="preserve"> after logging in with the control number shown on your Notice of Internet Availability, proxy card or voting instruction form. If you wish to submit a question on the day of the Annual Meeting, beginning at 7:30 a.m. Pacific Time on Tuesday, June 16, 2026, you may log into the virtual meeting platform at </w:t>
      </w:r>
      <w:r>
        <w:rPr>
          <w:rFonts w:ascii="Times New Roman" w:cs="Times New Roman" w:eastAsia="Times New Roman" w:hAnsi="Times New Roman"/>
          <w:sz w:val="17"/>
          <w:szCs w:val="17"/>
          <w:u w:val="single" w:color="auto"/>
          <w:color w:val="auto"/>
        </w:rPr>
        <w:t>https://edge.media-server.com/mmc/p/j3zspvj4</w:t>
      </w:r>
      <w:r>
        <w:rPr>
          <w:rFonts w:ascii="Times New Roman" w:cs="Times New Roman" w:eastAsia="Times New Roman" w:hAnsi="Times New Roman"/>
          <w:sz w:val="17"/>
          <w:szCs w:val="17"/>
          <w:color w:val="auto"/>
        </w:rPr>
        <w:t xml:space="preserve"> and follow the instructions there. Our Annual Meeting will be governed by our Rules of Conduct and Procedures, which will be made available to stockholders on the Annual Meeting’s live webcast on the day of the Annual Meeting and will address the ability of stockholders to ask questions during the Annual Meeting, including rules on permissible topics, and rules for how questions and comments will be recognized and disclosed to meeting participants.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or not you participate in the Annual Meeting, it is important that you vote your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What if I cannot find my Control Number?</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Please note that if you do not have your control number and you are a registered stockholder, you will be able to login as a guest. To view the Annual Meeting webcast visit </w:t>
      </w:r>
      <w:r>
        <w:rPr>
          <w:rFonts w:ascii="Times New Roman" w:cs="Times New Roman" w:eastAsia="Times New Roman" w:hAnsi="Times New Roman"/>
          <w:sz w:val="17"/>
          <w:szCs w:val="17"/>
          <w:u w:val="single" w:color="auto"/>
          <w:color w:val="auto"/>
        </w:rPr>
        <w:t>https://edge.media-server.com/mmc/p/j3zspvj4</w:t>
      </w:r>
      <w:r>
        <w:rPr>
          <w:rFonts w:ascii="Times New Roman" w:cs="Times New Roman" w:eastAsia="Times New Roman" w:hAnsi="Times New Roman"/>
          <w:sz w:val="17"/>
          <w:szCs w:val="17"/>
          <w:color w:val="auto"/>
        </w:rPr>
        <w:t xml:space="preserve"> and register as a guest. If you login as a guest, you will not be able to vote your shares or ask questions during the Annual Meeting.</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a beneficial owner (that is, you hold your shares in an account at a bank, broker or other nominee), you will need to contact that bank, broker or other nominee to obtain your control number prior to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 a list of record stockholders as of the Record Date be available?</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For the 10 days ending </w:t>
      </w:r>
      <w:r>
        <w:rPr>
          <w:rFonts w:ascii="Times New Roman" w:cs="Times New Roman" w:eastAsia="Times New Roman" w:hAnsi="Times New Roman"/>
          <w:sz w:val="17"/>
          <w:szCs w:val="17"/>
          <w:i w:val="1"/>
          <w:iCs w:val="1"/>
          <w:color w:val="auto"/>
        </w:rPr>
        <w:t>the day prior to</w:t>
      </w:r>
      <w:r>
        <w:rPr>
          <w:rFonts w:ascii="Times New Roman" w:cs="Times New Roman" w:eastAsia="Times New Roman" w:hAnsi="Times New Roman"/>
          <w:sz w:val="17"/>
          <w:szCs w:val="17"/>
          <w:color w:val="auto"/>
        </w:rPr>
        <w:t xml:space="preserve"> the Annual Meeting, a list of our record stockholders as of the close of business on the Record Date will be available for examination by any stockholder of record for any purpose germane to the Annual Meeting at 2625 Townsgate Road, Suite 230, Westlake Village, California 91361.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can we get technical assistance?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have difficulty accessing the Annual Meeting, please refer to the technical support telephone number posted on the virtual meeting website login page, where technicians will be available to help you.</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vote at the Annual Meeting?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will be entitled to vote at the Annual Meeting. On the Record Date, there were 44,842,243 shares of common stock outstanding and entitled to vote.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 xml:space="preserve">If on the Record Date your shares were registered directly in your name with Genelux’s transfer agent, Equiniti Trust Company, LLC, then you are a stockholder of record. As a stockholder of record, you may vote </w:t>
      </w:r>
      <w:r>
        <w:rPr>
          <w:rFonts w:ascii="Times New Roman" w:cs="Times New Roman" w:eastAsia="Times New Roman" w:hAnsi="Times New Roman"/>
          <w:sz w:val="16"/>
          <w:szCs w:val="16"/>
          <w:b w:val="1"/>
          <w:bCs w:val="1"/>
          <w:color w:val="auto"/>
        </w:rPr>
        <w:t>online</w:t>
      </w:r>
      <w:r>
        <w:rPr>
          <w:rFonts w:ascii="Times New Roman" w:cs="Times New Roman" w:eastAsia="Times New Roman" w:hAnsi="Times New Roman"/>
          <w:sz w:val="16"/>
          <w:szCs w:val="16"/>
          <w:color w:val="auto"/>
        </w:rPr>
        <w:t xml:space="preserve"> at the Annual Meeting or vote by proxy. Whether or not you plan to attend the Annual Meeting, we urge you to fill out and return the proxy card that may be mailed to you or vote by proxy over the telephone or on the internet as instructed below to ensure your vote is counted.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a Broker or Bank</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If on the Record Date your shares were held, not in your name, but rather in an account at a brokerage firm, bank or other similar organization, then you are the beneficial owner of shares held in “street name” and the Notice of Internet Availability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of Internet Availability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of Internet Availability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On what matters am I voting?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two matters scheduled for a vote at the Annual Meeting</w:t>
      </w:r>
      <w:r>
        <w:rPr>
          <w:rFonts w:ascii="Times New Roman" w:cs="Times New Roman" w:eastAsia="Times New Roman" w:hAnsi="Times New Roman"/>
          <w:sz w:val="17"/>
          <w:szCs w:val="17"/>
          <w:b w:val="1"/>
          <w:bCs w:val="1"/>
          <w:color w:val="auto"/>
        </w:rPr>
        <w:t>:</w:t>
      </w:r>
    </w:p>
    <w:p>
      <w:pPr>
        <w:spacing w:after="0" w:line="212" w:lineRule="exact"/>
        <w:rPr>
          <w:sz w:val="20"/>
          <w:szCs w:val="20"/>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1: To elect one nominee for Class I director named herein, to hold office until the Company’s 2029 Annual Meeting of Stockholders and until their successor is duly elected and qualified, or until their earlier death, resignation or removal;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2: To ratify the appointment by the Audit Committee of the Board (the “Audit Committee”) of Weinberg &amp; Company, P.A. as the independent registered public accounting firm of the Company for its fiscal year ending December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if another matter is properly brought before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Annual Meeting, the proxy holders have discretionary authority to vote all proxies in accordance with the recommendation of our management on such matters, including any matters dealing with the conduct of the Annual Meeting. This discretionary authority is granted when you sign the form of proxy.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For Proposal 1, you may either vote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the nominee to the Board or you may “</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ithhold</w:t>
      </w:r>
      <w:r>
        <w:rPr>
          <w:rFonts w:ascii="Times New Roman" w:cs="Times New Roman" w:eastAsia="Times New Roman" w:hAnsi="Times New Roman"/>
          <w:sz w:val="17"/>
          <w:szCs w:val="17"/>
          <w:color w:val="auto"/>
        </w:rPr>
        <w:t>” your vote for the nominee. For the other matter to be voted on, you may vote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gainst</w:t>
      </w:r>
      <w:r>
        <w:rPr>
          <w:rFonts w:ascii="Times New Roman" w:cs="Times New Roman" w:eastAsia="Times New Roman" w:hAnsi="Times New Roman"/>
          <w:sz w:val="17"/>
          <w:szCs w:val="17"/>
          <w:color w:val="auto"/>
        </w:rPr>
        <w:t>” or abstain from voting.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procedures for voting are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 are a stockholder of record, you may vote online at the Annual Meeting,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In such case and if you vote at the Annual Meeting, your previously submitted proxy will be disregarded since votes will not be double counted.</w:t>
      </w:r>
    </w:p>
    <w:p>
      <w:pPr>
        <w:spacing w:after="0" w:line="171" w:lineRule="exact"/>
        <w:rPr>
          <w:sz w:val="20"/>
          <w:szCs w:val="20"/>
          <w:color w:val="auto"/>
        </w:rPr>
      </w:pPr>
    </w:p>
    <w:p>
      <w:pPr>
        <w:jc w:val="both"/>
        <w:ind w:left="600" w:hanging="297"/>
        <w:spacing w:after="0" w:line="312" w:lineRule="auto"/>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vote online </w:t>
      </w:r>
      <w:r>
        <w:rPr>
          <w:rFonts w:ascii="Times New Roman" w:cs="Times New Roman" w:eastAsia="Times New Roman" w:hAnsi="Times New Roman"/>
          <w:sz w:val="16"/>
          <w:szCs w:val="16"/>
          <w:b w:val="1"/>
          <w:bCs w:val="1"/>
          <w:i w:val="1"/>
          <w:iCs w:val="1"/>
          <w:color w:val="auto"/>
        </w:rPr>
        <w:t>during</w:t>
      </w:r>
      <w:r>
        <w:rPr>
          <w:rFonts w:ascii="Times New Roman" w:cs="Times New Roman" w:eastAsia="Times New Roman" w:hAnsi="Times New Roman"/>
          <w:sz w:val="16"/>
          <w:szCs w:val="16"/>
          <w:color w:val="auto"/>
        </w:rPr>
        <w:t xml:space="preserve"> the Annual Meeting, if you are a stockholder of record as of the Record Date, follow the instructions at </w:t>
      </w:r>
      <w:r>
        <w:rPr>
          <w:rFonts w:ascii="Times New Roman" w:cs="Times New Roman" w:eastAsia="Times New Roman" w:hAnsi="Times New Roman"/>
          <w:sz w:val="16"/>
          <w:szCs w:val="16"/>
          <w:u w:val="single" w:color="auto"/>
          <w:color w:val="auto"/>
        </w:rPr>
        <w:t>https://edge.media-server.com/mmc/p/j3zspvj4</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You will need to enter the control number found on your Notice of Internet Availability or proxy registration confirmation email.</w:t>
      </w:r>
    </w:p>
    <w:p>
      <w:pPr>
        <w:spacing w:after="0" w:line="126" w:lineRule="exact"/>
        <w:rPr>
          <w:rFonts w:ascii="Times New Roman" w:cs="Times New Roman" w:eastAsia="Times New Roman" w:hAnsi="Times New Roman"/>
          <w:sz w:val="16"/>
          <w:szCs w:val="16"/>
          <w:color w:val="auto"/>
        </w:rPr>
      </w:pPr>
    </w:p>
    <w:p>
      <w:pPr>
        <w:ind w:left="600" w:hanging="297"/>
        <w:spacing w:after="0" w:line="279"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w:t>
      </w:r>
      <w:r>
        <w:rPr>
          <w:rFonts w:ascii="Times New Roman" w:cs="Times New Roman" w:eastAsia="Times New Roman" w:hAnsi="Times New Roman"/>
          <w:sz w:val="17"/>
          <w:szCs w:val="17"/>
          <w:b w:val="1"/>
          <w:bCs w:val="1"/>
          <w:i w:val="1"/>
          <w:iCs w:val="1"/>
          <w:color w:val="auto"/>
        </w:rPr>
        <w:t>prior</w:t>
      </w:r>
      <w:r>
        <w:rPr>
          <w:rFonts w:ascii="Times New Roman" w:cs="Times New Roman" w:eastAsia="Times New Roman" w:hAnsi="Times New Roman"/>
          <w:sz w:val="17"/>
          <w:szCs w:val="17"/>
          <w:color w:val="auto"/>
        </w:rPr>
        <w:t xml:space="preserve"> to the Annual Meeting (until 11:59 p.m. Eastern Time on June 15, 2026), you may vote via the Internet at </w:t>
      </w:r>
      <w:r>
        <w:rPr>
          <w:rFonts w:ascii="Times New Roman" w:cs="Times New Roman" w:eastAsia="Times New Roman" w:hAnsi="Times New Roman"/>
          <w:sz w:val="17"/>
          <w:szCs w:val="17"/>
          <w:i w:val="1"/>
          <w:iCs w:val="1"/>
          <w:u w:val="single" w:color="auto"/>
          <w:color w:val="auto"/>
        </w:rPr>
        <w:t>www.voteproxy.com</w:t>
      </w:r>
      <w:r>
        <w:rPr>
          <w:rFonts w:ascii="Times New Roman" w:cs="Times New Roman" w:eastAsia="Times New Roman" w:hAnsi="Times New Roman"/>
          <w:sz w:val="17"/>
          <w:szCs w:val="17"/>
          <w:color w:val="auto"/>
        </w:rPr>
        <w:t>; by telephone; or by completing and returning your proxy card or voting instruction form, as described below.</w:t>
      </w:r>
    </w:p>
    <w:p>
      <w:pPr>
        <w:spacing w:after="0" w:line="154"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over the telephone, please call toll free 1-800-776-9437 (1-201-299-4446 for international caller). You will be asked to provide the company number and control number from the Notice of Internet Availability or proxy card. Your telephone vote must be received by 11:59 p.m. Eastern Time on June 15, 2026 to be counted.</w:t>
      </w:r>
    </w:p>
    <w:p>
      <w:pPr>
        <w:spacing w:after="0" w:line="165" w:lineRule="exact"/>
        <w:rPr>
          <w:rFonts w:ascii="Times New Roman" w:cs="Times New Roman" w:eastAsia="Times New Roman" w:hAnsi="Times New Roman"/>
          <w:sz w:val="17"/>
          <w:szCs w:val="17"/>
          <w:color w:val="auto"/>
        </w:rPr>
      </w:pPr>
    </w:p>
    <w:p>
      <w:pPr>
        <w:jc w:val="both"/>
        <w:ind w:left="900" w:hanging="294"/>
        <w:spacing w:after="0" w:line="26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via the internet prior to the Annual Meeting, go to </w:t>
      </w:r>
      <w:r>
        <w:rPr>
          <w:rFonts w:ascii="Times New Roman" w:cs="Times New Roman" w:eastAsia="Times New Roman" w:hAnsi="Times New Roman"/>
          <w:sz w:val="17"/>
          <w:szCs w:val="17"/>
          <w:i w:val="1"/>
          <w:iCs w:val="1"/>
          <w:u w:val="single" w:color="auto"/>
          <w:color w:val="auto"/>
        </w:rPr>
        <w:t>www.voteproxy.com</w:t>
      </w:r>
      <w:r>
        <w:rPr>
          <w:rFonts w:ascii="Times New Roman" w:cs="Times New Roman" w:eastAsia="Times New Roman" w:hAnsi="Times New Roman"/>
          <w:sz w:val="17"/>
          <w:szCs w:val="17"/>
          <w:color w:val="auto"/>
        </w:rPr>
        <w:t xml:space="preserve"> and follow the instructions to submit your vote. You will be asked to provide the company number and control number from the Notice of Internet Availability or proxy card. Your internet vote must be received by 11:59 p.m. Eastern Time on June 15, 2026 to be counted.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or Bank</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or other nominee, you should have received a Notice of Internet Availability containing voting instructions from that organization rather than from Genelux. You must follow the voting instructions in the notice to ensure that your vote is counted. Alternatively, many brokers and banks provide the means to grant proxies or otherwise instruct them to vote your shares by telephone or over the internet as instructed by your broker, bank or other nominee. To vote at the Annual Meeting, you must obtain a valid proxy from your broker, bank or other agent. Follow the instructions from your broker, bank or other nominee included with these proxy materials, or contact that organization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146290" cy="669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669290"/>
                    </a:xfrm>
                    <a:prstGeom prst="rect">
                      <a:avLst/>
                    </a:prstGeom>
                    <a:noFill/>
                  </pic:spPr>
                </pic:pic>
              </a:graphicData>
            </a:graphic>
          </wp:anchor>
        </w:drawing>
      </w:r>
    </w:p>
    <w:p>
      <w:pPr>
        <w:spacing w:after="0" w:line="366" w:lineRule="exact"/>
        <w:rPr>
          <w:sz w:val="20"/>
          <w:szCs w:val="20"/>
          <w:color w:val="auto"/>
        </w:rPr>
      </w:pPr>
    </w:p>
    <w:p>
      <w:pPr>
        <w:jc w:val="both"/>
        <w:ind w:left="140" w:right="140"/>
        <w:spacing w:after="0" w:line="263" w:lineRule="auto"/>
        <w:rPr>
          <w:sz w:val="20"/>
          <w:szCs w:val="20"/>
          <w:color w:val="auto"/>
        </w:rPr>
      </w:pPr>
      <w:r>
        <w:rPr>
          <w:rFonts w:ascii="Times New Roman" w:cs="Times New Roman" w:eastAsia="Times New Roman" w:hAnsi="Times New Roman"/>
          <w:sz w:val="17"/>
          <w:szCs w:val="17"/>
          <w:b w:val="1"/>
          <w:bCs w:val="1"/>
          <w:color w:val="auto"/>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each matter to be voted upon, you have one vote for each share of common stock you own as of the Record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I am a stockholder of record and I do not vote, or if I return a proxy card or otherwise vote without giving specific voting instructions, what happens?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a stockholder of record and do not vote by completing your proxy card, by telephone, through the internet or online at the Annual Meeting, your shares will not be voted.</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voting selections, your shares will be voted, as applicable,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the election of the Board nominee for director and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the ratification of the appointment by the Audit Committee of Weinberg &amp; Company, P.A. as the independent registered public accounting firm of the Company for the fiscal year ending December 31, 2026. If any other matter is properly presented at the Annual Meeting, your proxyholder (one of the individuals named on your proxy card) will vote your shares using that individual’s best judgment, including any matters dealing with the conduct of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I am a beneficial owner of shares held in street name and I do not provide my broker or bank with voting instructions, what happens?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meaning that your broker may not vote your shares on this proposal in the absence of your voting instructions. However, Proposal 2 is considered to be a “routine” matter, meaning that if you do not return voting instructions to your broker by its deadline, your shares may be voted by your broker in its discretion on Proposal 2.</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7"/>
          <w:szCs w:val="17"/>
          <w:b w:val="1"/>
          <w:bCs w:val="1"/>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Who is paying for this proxy solicitation?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hired DF King &amp; Co., Inc. (“King”) to solicit proxies. We expect to pay King a fee of $10,000 plus reasonable expenses for these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of Internet Availability?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receive more than one Notice of Internet Availability, your shares may be registered in more than one name or in different accounts. Please follow the voting instructions on the Notices of Internet Availability to ensure that all of your shares are voted.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change my vote after submitting my proxy?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Yes. You can revoke your proxy at any time before the final vote at the Annual Meeting. If you are the record holder of your shares, you may revoke your proxy in any one of the following ways:</w:t>
      </w:r>
    </w:p>
    <w:p>
      <w:pPr>
        <w:spacing w:after="0" w:line="159"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card with a later date.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grant a subsequent proxy by telephone or through the internet.</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timely written notice that you are revoking your proxy to Genelux’s Corporate Secretary at 2625 Townsgate Road, Suite 230, Westlake Village, California 91361, Attn: Corporate Secretary. Such notice will be considered timely if it is received at the indicated address by the close of business on the business day preceding the date of the Annual Meeting.</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attend the Annual Meeting and vote virtually. Simply attending the Annual Meeting will not, by itself, revoke your proxy.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most current proxy card or telephone or internet proxy is the one that is counted.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or Bank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your shares are held by your broker, bank or other agent, you should follow the instructions provided by your broker, bank or other nominee.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are stockholder proposals and director nominations due for next year’s annual meeting?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be considered for inclusion in next year’s proxy materials, your proposal must be submitted in writing by December 30, 2026, to 2625 Townsgate Road, Suite 230, Westlake Village, California 91361, Attn: Corporate Secretary. If you wish to submit a proposal (including a director nomination) at the meeting that is not to be included in next year’s proxy materials, you must do so between February 16, 2027 and March 18, 2027. However, if our 2027 annual meeting of stockholders is not held between May 17, 2027 and July 16, 2027, written notice of the proposal (including a director nomination) must be received (A) not earlier than the close of business on the 120th day prior to the 2027 annual meeting of stockholders, and (B) not later than the close of business on the later of the 90th day prior to the 2027 annual meeting of stockholders or the 10th day following the day on which public announcement of the date of such meeting is first made. You are also advised to review the Company’s Amended and Restated Bylaws (our “Bylaws”), which contain additional requirements about advance notice of stockholder proposals and director nominations.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order for stockholders to give timely notice of director nominations at next year’s annual meeting for inclusion on a universal proxy card under Rule 14a-19 of the Securities Exchange Act of 1934, as amended (the “Exchange Act”), notice must be submitted by the same deadline as described above under the advance notice procedures set forth in our Bylaws and must also include the information in the notice required by our Bylaws and by Rule 14a-19(b)(2) and Rule 14a-19(b)(3) of the Exchange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are votes counted?</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Votes will be counted by the inspector of election appointed for the Annual Meeting, who will separately count, for Proposal 1 (the proposal to elect the Class I director named herein), votes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ithhold</w:t>
      </w:r>
      <w:r>
        <w:rPr>
          <w:rFonts w:ascii="Times New Roman" w:cs="Times New Roman" w:eastAsia="Times New Roman" w:hAnsi="Times New Roman"/>
          <w:sz w:val="17"/>
          <w:szCs w:val="17"/>
          <w:color w:val="auto"/>
        </w:rPr>
        <w:t>”; and, for Proposal 2 (the proposal to ratify the appointment by the Audit Committee of Weinberg &amp; Company, P.A. as our independent registered public accounting firm for the fiscal year ending December 31, 2026), votes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gainst</w:t>
      </w:r>
      <w:r>
        <w:rPr>
          <w:rFonts w:ascii="Times New Roman" w:cs="Times New Roman" w:eastAsia="Times New Roman" w:hAnsi="Times New Roman"/>
          <w:sz w:val="17"/>
          <w:szCs w:val="17"/>
          <w:color w:val="auto"/>
        </w:rPr>
        <w:t>” and abstentions. “</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ithhold</w:t>
      </w:r>
      <w:r>
        <w:rPr>
          <w:rFonts w:ascii="Times New Roman" w:cs="Times New Roman" w:eastAsia="Times New Roman" w:hAnsi="Times New Roman"/>
          <w:sz w:val="17"/>
          <w:szCs w:val="17"/>
          <w:color w:val="auto"/>
        </w:rPr>
        <w:t>” votes will have no effect on Proposal 1. Abstentions will be counted towards the vote total for Proposal 2 and will have the same effect as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gainst</w:t>
      </w:r>
      <w:r>
        <w:rPr>
          <w:rFonts w:ascii="Times New Roman" w:cs="Times New Roman" w:eastAsia="Times New Roman" w:hAnsi="Times New Roman"/>
          <w:sz w:val="17"/>
          <w:szCs w:val="17"/>
          <w:color w:val="auto"/>
        </w:rPr>
        <w:t>” votes. Broker non-votes will be counted towards the presence of a quorum for either proposal but will not be counted towards the vote total for either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What are “broker non-votes”?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When there is at least one “routine” matter that the broker, bank or other securities intermediary votes on, the shares that are un-voted on “non-routine” matters are counted as “broker non-votes.” Proposal 1 is considered to be “non-routine” and we therefore expect broker non-votes to exist in connection with this proposal. Proposal 2 is a “routine” matter and we therefore expect brokers, banks or other securities intermediaries to vote on this proposal.</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7"/>
          <w:szCs w:val="17"/>
          <w:b w:val="1"/>
          <w:bCs w:val="1"/>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are needed to approve each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minimum vote needed to approve each proposal and the effect of abstentions and broker non-votes: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Effect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Effect of</w:t>
            </w:r>
          </w:p>
        </w:tc>
        <w:tc>
          <w:tcPr>
            <w:tcW w:w="1640" w:type="dxa"/>
            <w:vAlign w:val="bottom"/>
          </w:tcPr>
          <w:p>
            <w:pPr>
              <w:spacing w:after="0"/>
              <w:rPr>
                <w:sz w:val="17"/>
                <w:szCs w:val="17"/>
                <w:color w:val="auto"/>
              </w:rPr>
            </w:pPr>
          </w:p>
        </w:tc>
      </w:tr>
      <w:tr>
        <w:trPr>
          <w:trHeight w:val="20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Proposal</w:t>
            </w:r>
          </w:p>
        </w:tc>
        <w:tc>
          <w:tcPr>
            <w:tcW w:w="164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Proposal</w:t>
            </w:r>
          </w:p>
        </w:tc>
        <w:tc>
          <w:tcPr>
            <w:tcW w:w="2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Vote Required for</w:t>
            </w:r>
          </w:p>
        </w:tc>
        <w:tc>
          <w:tcPr>
            <w:tcW w:w="154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Abstentions or Withhold</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Broker Non-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Board</w:t>
            </w:r>
          </w:p>
        </w:tc>
      </w:tr>
      <w:tr>
        <w:trPr>
          <w:trHeight w:val="222"/>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Approval</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Voting Options</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Votes, as applicable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Votes</w:t>
            </w:r>
          </w:p>
        </w:tc>
        <w:tc>
          <w:tcPr>
            <w:tcW w:w="164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8"/>
              </w:rPr>
              <w:t>Recommendation</w:t>
            </w:r>
          </w:p>
        </w:tc>
      </w:tr>
      <w:tr>
        <w:trPr>
          <w:trHeight w:val="174"/>
        </w:trPr>
        <w:tc>
          <w:tcPr>
            <w:tcW w:w="9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1</w:t>
            </w:r>
          </w:p>
        </w:tc>
        <w:tc>
          <w:tcPr>
            <w:tcW w:w="164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7"/>
                <w:szCs w:val="17"/>
                <w:color w:val="auto"/>
              </w:rPr>
              <w:t>Election of Director</w:t>
            </w:r>
          </w:p>
        </w:tc>
        <w:tc>
          <w:tcPr>
            <w:tcW w:w="2060" w:type="dxa"/>
            <w:vAlign w:val="bottom"/>
            <w:shd w:val="clear" w:color="auto" w:fill="CCEEFF"/>
          </w:tcPr>
          <w:p>
            <w:pPr>
              <w:ind w:left="120"/>
              <w:spacing w:after="0" w:line="174" w:lineRule="exact"/>
              <w:rPr>
                <w:sz w:val="20"/>
                <w:szCs w:val="20"/>
                <w:color w:val="auto"/>
              </w:rPr>
            </w:pPr>
            <w:r>
              <w:rPr>
                <w:rFonts w:ascii="Times New Roman" w:cs="Times New Roman" w:eastAsia="Times New Roman" w:hAnsi="Times New Roman"/>
                <w:sz w:val="17"/>
                <w:szCs w:val="17"/>
                <w:color w:val="auto"/>
              </w:rPr>
              <w:t>Plurality of the votes of</w:t>
            </w:r>
          </w:p>
        </w:tc>
        <w:tc>
          <w:tcPr>
            <w:tcW w:w="15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or</w:t>
            </w:r>
          </w:p>
        </w:tc>
        <w:tc>
          <w:tcPr>
            <w:tcW w:w="208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6"/>
              </w:rPr>
              <w:t>No Effect</w:t>
            </w:r>
          </w:p>
        </w:tc>
        <w:tc>
          <w:tcPr>
            <w:tcW w:w="13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9"/>
              </w:rPr>
              <w:t>No Effect</w:t>
            </w:r>
          </w:p>
        </w:tc>
        <w:tc>
          <w:tcPr>
            <w:tcW w:w="1640" w:type="dxa"/>
            <w:vAlign w:val="bottom"/>
            <w:shd w:val="clear" w:color="auto" w:fill="CCEEFF"/>
          </w:tcPr>
          <w:p>
            <w:pPr>
              <w:jc w:val="center"/>
              <w:ind w:left="16"/>
              <w:spacing w:after="0" w:line="174"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the nominee</w:t>
            </w:r>
          </w:p>
        </w:tc>
      </w:tr>
      <w:tr>
        <w:trPr>
          <w:trHeight w:val="206"/>
        </w:trPr>
        <w:tc>
          <w:tcPr>
            <w:tcW w:w="9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present virtually, or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ithhold</w:t>
            </w:r>
            <w:r>
              <w:rPr>
                <w:rFonts w:ascii="Times New Roman" w:cs="Times New Roman" w:eastAsia="Times New Roman" w:hAnsi="Times New Roman"/>
                <w:sz w:val="17"/>
                <w:szCs w:val="17"/>
                <w:color w:val="auto"/>
              </w:rPr>
              <w:t>”</w:t>
            </w:r>
          </w:p>
        </w:tc>
        <w:tc>
          <w:tcPr>
            <w:tcW w:w="2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2"/>
        </w:trPr>
        <w:tc>
          <w:tcPr>
            <w:tcW w:w="9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represented by proxy, at</w:t>
            </w:r>
          </w:p>
        </w:tc>
        <w:tc>
          <w:tcPr>
            <w:tcW w:w="15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2"/>
        </w:trPr>
        <w:tc>
          <w:tcPr>
            <w:tcW w:w="9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the Annual Meeting and</w:t>
            </w:r>
          </w:p>
        </w:tc>
        <w:tc>
          <w:tcPr>
            <w:tcW w:w="15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2"/>
        </w:trPr>
        <w:tc>
          <w:tcPr>
            <w:tcW w:w="9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entitled to vote generally</w:t>
            </w:r>
          </w:p>
        </w:tc>
        <w:tc>
          <w:tcPr>
            <w:tcW w:w="15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2"/>
        </w:trPr>
        <w:tc>
          <w:tcPr>
            <w:tcW w:w="9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on the election of</w:t>
            </w:r>
          </w:p>
        </w:tc>
        <w:tc>
          <w:tcPr>
            <w:tcW w:w="15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8"/>
        </w:trPr>
        <w:tc>
          <w:tcPr>
            <w:tcW w:w="9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directors.</w:t>
            </w:r>
          </w:p>
        </w:tc>
        <w:tc>
          <w:tcPr>
            <w:tcW w:w="1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81"/>
        </w:trPr>
        <w:tc>
          <w:tcPr>
            <w:tcW w:w="9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2</w:t>
            </w:r>
          </w:p>
        </w:tc>
        <w:tc>
          <w:tcPr>
            <w:tcW w:w="164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Ratification of</w:t>
            </w:r>
          </w:p>
        </w:tc>
        <w:tc>
          <w:tcPr>
            <w:tcW w:w="206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Majority of shares present</w:t>
            </w:r>
          </w:p>
        </w:tc>
        <w:tc>
          <w:tcPr>
            <w:tcW w:w="15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gainst</w:t>
            </w:r>
            <w:r>
              <w:rPr>
                <w:rFonts w:ascii="Times New Roman" w:cs="Times New Roman" w:eastAsia="Times New Roman" w:hAnsi="Times New Roman"/>
                <w:sz w:val="17"/>
                <w:szCs w:val="17"/>
                <w:color w:val="auto"/>
              </w:rPr>
              <w:t>,”</w:t>
            </w:r>
          </w:p>
        </w:tc>
        <w:tc>
          <w:tcPr>
            <w:tcW w:w="20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Against</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Not</w:t>
            </w:r>
          </w:p>
        </w:tc>
        <w:tc>
          <w:tcPr>
            <w:tcW w:w="1640" w:type="dxa"/>
            <w:vAlign w:val="bottom"/>
          </w:tcPr>
          <w:p>
            <w:pPr>
              <w:jc w:val="center"/>
              <w:ind w:left="16"/>
              <w:spacing w:after="0" w:line="181"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color w:val="auto"/>
              </w:rPr>
              <w:t>”</w:t>
            </w:r>
          </w:p>
        </w:tc>
      </w:tr>
      <w:tr>
        <w:trPr>
          <w:trHeight w:val="210"/>
        </w:trPr>
        <w:tc>
          <w:tcPr>
            <w:tcW w:w="96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w:t>
            </w: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virtually, or represented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or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bstain</w:t>
            </w:r>
            <w:r>
              <w:rPr>
                <w:rFonts w:ascii="Times New Roman" w:cs="Times New Roman" w:eastAsia="Times New Roman" w:hAnsi="Times New Roman"/>
                <w:sz w:val="17"/>
                <w:szCs w:val="17"/>
                <w:color w:val="auto"/>
              </w:rPr>
              <w:t>”</w:t>
            </w:r>
          </w:p>
        </w:tc>
        <w:tc>
          <w:tcPr>
            <w:tcW w:w="2080" w:type="dxa"/>
            <w:vAlign w:val="bottom"/>
          </w:tcPr>
          <w:p>
            <w:pPr>
              <w:spacing w:after="0"/>
              <w:rPr>
                <w:sz w:val="18"/>
                <w:szCs w:val="18"/>
                <w:color w:val="auto"/>
              </w:rPr>
            </w:pPr>
          </w:p>
        </w:tc>
        <w:tc>
          <w:tcPr>
            <w:tcW w:w="132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color w:val="auto"/>
              </w:rPr>
              <w:t>applicable</w:t>
            </w:r>
            <w:r>
              <w:rPr>
                <w:rFonts w:ascii="Times New Roman" w:cs="Times New Roman" w:eastAsia="Times New Roman" w:hAnsi="Times New Roman"/>
                <w:sz w:val="24"/>
                <w:szCs w:val="24"/>
                <w:color w:val="auto"/>
                <w:vertAlign w:val="superscript"/>
              </w:rPr>
              <w:t>(a)</w:t>
            </w:r>
          </w:p>
        </w:tc>
        <w:tc>
          <w:tcPr>
            <w:tcW w:w="1640" w:type="dxa"/>
            <w:vAlign w:val="bottom"/>
          </w:tcPr>
          <w:p>
            <w:pPr>
              <w:spacing w:after="0"/>
              <w:rPr>
                <w:sz w:val="18"/>
                <w:szCs w:val="18"/>
                <w:color w:val="auto"/>
              </w:rPr>
            </w:pPr>
          </w:p>
        </w:tc>
      </w:tr>
      <w:tr>
        <w:trPr>
          <w:trHeight w:val="198"/>
        </w:trPr>
        <w:tc>
          <w:tcPr>
            <w:tcW w:w="960" w:type="dxa"/>
            <w:vAlign w:val="bottom"/>
          </w:tcPr>
          <w:p>
            <w:pPr>
              <w:spacing w:after="0"/>
              <w:rPr>
                <w:sz w:val="17"/>
                <w:szCs w:val="17"/>
                <w:color w:val="auto"/>
              </w:rPr>
            </w:pPr>
          </w:p>
        </w:tc>
        <w:tc>
          <w:tcPr>
            <w:tcW w:w="1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Registered Public</w:t>
            </w: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by proxy, at the Annual</w:t>
            </w:r>
          </w:p>
        </w:tc>
        <w:tc>
          <w:tcPr>
            <w:tcW w:w="1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960" w:type="dxa"/>
            <w:vAlign w:val="bottom"/>
          </w:tcPr>
          <w:p>
            <w:pPr>
              <w:spacing w:after="0"/>
              <w:rPr>
                <w:sz w:val="17"/>
                <w:szCs w:val="17"/>
                <w:color w:val="auto"/>
              </w:rPr>
            </w:pPr>
          </w:p>
        </w:tc>
        <w:tc>
          <w:tcPr>
            <w:tcW w:w="1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Accounting Firm</w:t>
            </w: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Meeting and entitled to</w:t>
            </w:r>
          </w:p>
        </w:tc>
        <w:tc>
          <w:tcPr>
            <w:tcW w:w="1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vote generally on the</w:t>
            </w:r>
          </w:p>
        </w:tc>
        <w:tc>
          <w:tcPr>
            <w:tcW w:w="1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subject matter.</w:t>
            </w:r>
          </w:p>
        </w:tc>
        <w:tc>
          <w:tcPr>
            <w:tcW w:w="1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11" w:lineRule="exact"/>
        <w:rPr>
          <w:sz w:val="20"/>
          <w:szCs w:val="20"/>
          <w:color w:val="auto"/>
        </w:rPr>
      </w:pPr>
    </w:p>
    <w:p>
      <w:pPr>
        <w:jc w:val="both"/>
        <w:ind w:left="600" w:hanging="599"/>
        <w:spacing w:after="0" w:line="26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proposal is considered to be a “routine” matter under applicable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quorum requirement?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 quorum of stockholders is necessary to hold a valid meeting. A quorum will be present if stockholders holding at least a majority of the voting power of the outstanding shares of capital stock entitled to vote are present at the Annual Meeting virtually or represented by proxy. On the Record Date, there were 44,842,243 shares outstanding and entitled to vote. </w:t>
      </w:r>
      <w:r>
        <w:rPr>
          <w:rFonts w:ascii="Times New Roman" w:cs="Times New Roman" w:eastAsia="Times New Roman" w:hAnsi="Times New Roman"/>
          <w:sz w:val="17"/>
          <w:szCs w:val="17"/>
          <w:b w:val="1"/>
          <w:bCs w:val="1"/>
          <w:color w:val="auto"/>
        </w:rPr>
        <w:t>Thus, the holders of 22,421,122 shares must be present</w:t>
      </w:r>
      <w:r>
        <w:rPr>
          <w:rFonts w:ascii="Times New Roman" w:cs="Times New Roman" w:eastAsia="Times New Roman" w:hAnsi="Times New Roman"/>
          <w:sz w:val="17"/>
          <w:szCs w:val="17"/>
          <w:color w:val="auto"/>
        </w:rPr>
        <w:t xml:space="preserve"> virtually or represented by proxy at the Annual Meeting to have a quorum.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at the Annual Meeting. Abstentions and broker non-votes will be counted towards the quorum requirement. If there is no quorum, the chair of the Annual Meeting or the holders of a majority of shares present at the Annual Meeting virtually or represented by proxy may adjourn the Annual Meeting to another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can I find out the results of the voting at the Annual Meeting?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Genelux’s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currently has five authorized members. The Class I director, John Smither, has been recommended for election to the Board as the Class I director by the Nominating and Corporate Governance Committee of the Board (the “Nominating Committee”), and was previously elected by our stockholders. If elected at the Annual Meeting, Mr. Smither would serve until our 2029 Annual Meeting of Stockholders and until his successor is duly elected and qualified, or until his earlier death, resignation or removal. It is the Company’s policy to encourage directors and nominees for director to attend the Annual Meeting.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nominee becomes unavailable for election as a result of an unexpected occurrence, shares that would have been voted for the nominee will instead be voted for the election of a substitute nominee proposed by the Company, or alternatively, the Board may leave a vacancy on the Board or reduce the size of the Board. The nominee for election has agreed to serve if elected. The Company’s management has no reason to believe that the nominee will be unable to serve.</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Nominating Committee seeks to assemble a board that, as a whole, possesses the appropriate balance of professional and industry knowledge, financial expertise and high-level management experience necessary to oversee and direct the Company’s business. To that end, the Nominating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Committee views as critical to the effective functioning of the Board. The brief biographies below include information, as of the date of this Proxy Statement, regarding the specific and particular experience, qualifications, attributes or skills of each director or nominee that led the Nominating Committee to recommend that that nominee should continue to serve on the Board. However, each of the members of the Nominating Committee may have a variety of reasons why he or she believes a particular person would be an appropriate nominee for the Board, and these views may differ from the views of other members.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provides certain information regarding our current directors and nominee for director as of the Record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 Current</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Current</w:t>
            </w:r>
          </w:p>
        </w:tc>
      </w:tr>
      <w:tr>
        <w:trPr>
          <w:trHeight w:val="222"/>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Nominee/Director Name</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Position</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Director Since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Term Expires</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Director Class</w:t>
            </w: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Nominee for Class I Director: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Smither</w:t>
            </w:r>
          </w:p>
        </w:tc>
        <w:tc>
          <w:tcPr>
            <w:tcW w:w="114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9"/>
              </w:rPr>
              <w:t>2023</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2026</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w:t>
            </w:r>
          </w:p>
        </w:tc>
      </w:tr>
      <w:tr>
        <w:trPr>
          <w:trHeight w:val="232"/>
        </w:trPr>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Continuing Directors: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 Mirabelli</w:t>
            </w:r>
          </w:p>
        </w:tc>
        <w:tc>
          <w:tcPr>
            <w:tcW w:w="114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shd w:val="clear" w:color="auto" w:fill="CCEEFF"/>
          </w:tcPr>
          <w:p>
            <w:pPr>
              <w:spacing w:after="0"/>
              <w:rPr>
                <w:sz w:val="19"/>
                <w:szCs w:val="19"/>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9"/>
              </w:rPr>
              <w:t>2021</w:t>
            </w:r>
          </w:p>
        </w:tc>
        <w:tc>
          <w:tcPr>
            <w:tcW w:w="134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7"/>
                <w:szCs w:val="17"/>
                <w:color w:val="auto"/>
                <w:w w:val="99"/>
              </w:rPr>
              <w:t>2027</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7"/>
              </w:rPr>
              <w:t>II</w:t>
            </w:r>
          </w:p>
        </w:tc>
      </w:tr>
      <w:tr>
        <w:trPr>
          <w:trHeight w:val="22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Thomas, Ph.D.</w:t>
            </w:r>
          </w:p>
        </w:tc>
        <w:tc>
          <w:tcPr>
            <w:tcW w:w="114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rPr>
              <w:t>68</w:t>
            </w:r>
          </w:p>
        </w:tc>
        <w:tc>
          <w:tcPr>
            <w:tcW w:w="22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9"/>
              </w:rPr>
              <w:t>2002</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2027</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87"/>
              </w:rPr>
              <w:t>II</w:t>
            </w:r>
          </w:p>
        </w:tc>
      </w:tr>
      <w:tr>
        <w:trPr>
          <w:trHeight w:val="23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Tyree</w:t>
            </w:r>
          </w:p>
        </w:tc>
        <w:tc>
          <w:tcPr>
            <w:tcW w:w="114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shd w:val="clear" w:color="auto" w:fill="CCEEFF"/>
          </w:tcPr>
          <w:p>
            <w:pPr>
              <w:spacing w:after="0"/>
              <w:rPr>
                <w:sz w:val="20"/>
                <w:szCs w:val="20"/>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Lead Independent Director</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9"/>
              </w:rPr>
              <w:t>2012</w:t>
            </w:r>
          </w:p>
        </w:tc>
        <w:tc>
          <w:tcPr>
            <w:tcW w:w="134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7"/>
                <w:szCs w:val="17"/>
                <w:color w:val="auto"/>
                <w:w w:val="99"/>
              </w:rPr>
              <w:t>2028</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III</w:t>
            </w:r>
          </w:p>
        </w:tc>
      </w:tr>
      <w:tr>
        <w:trPr>
          <w:trHeight w:val="198"/>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D. Zindrick, J.D.</w:t>
            </w:r>
          </w:p>
        </w:tc>
        <w:tc>
          <w:tcPr>
            <w:tcW w:w="114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President, Chief Executive Officer and</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9"/>
              </w:rPr>
              <w:t>2021</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2028</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III</w:t>
            </w:r>
          </w:p>
        </w:tc>
      </w:tr>
      <w:tr>
        <w:trPr>
          <w:trHeight w:val="218"/>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Chairman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16"/>
        </w:trPr>
        <w:tc>
          <w:tcPr>
            <w:tcW w:w="2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jc w:val="right"/>
              <w:ind w:right="1476"/>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The following is a brief biography of the nominee and each director whose term will continue after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Nominee for Election for a Three-year Term Expiring at the 2029 Annual Meeting</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John Smither</w:t>
      </w:r>
      <w:r>
        <w:rPr>
          <w:rFonts w:ascii="Times New Roman" w:cs="Times New Roman" w:eastAsia="Times New Roman" w:hAnsi="Times New Roman"/>
          <w:sz w:val="16"/>
          <w:szCs w:val="16"/>
          <w:i w:val="1"/>
          <w:iCs w:val="1"/>
          <w:color w:val="auto"/>
        </w:rPr>
        <w:t>, 73,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has served as a member of the Board since September 2023. Mr. Smither currently serves as the interim Chief Financial Officer of MBX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Biosciences, Inc., a biopharmaceutical company, since March 2026 and is a senior advisor at Frazier Life Sciences, an investment firm, since November 2024. From September 2023 to April 2024, Mr. Smither served as the interim Chief Financial Officer of Arcutis Biotherapeutics, Inc., a biopharmaceutical company (“Arcutis”), and from May 2019 to May 2021, served as the Chief Financial Officer of Arcutis, where he was responsible for all financial aspects of Arcutis including leading Arcutis’s successful initial public offering and two follow-on financings. Previously, Mr. Smither was the Chief Financial Officer at Sienna Biopharmaceutics from January 2016 to April 2017, and again from April 2018 to March 2019. Mr. Smither also served as the Interim Chief Financial Officer at Kite Pharma, a Gilead Company, from November 2017 through April 2018, and was the Chief Financial Officer of Unity Biotechnology from January 2016 to July 2017. He also served as Chief Financial Officer at Kythera Biopharmaceuticals (“Kythera”), where he was responsible for all financial activities during early clinical stage development through approval and launch, led private fundraising rounds, prepared Kythera for its successful initial public offering in October 2012, and oversaw its acquisition by Allergan plc for approximately $2.1 billion. From February 1998 to November 2007, Mr. Smither held several financial positions at Amgen of increasing responsibility, including Vice President of Finance and Administration for Amgen’s European operations in 28 countries, and as Executive Director of Corporate Accounting. In January 2023, Mr. Smither was appointed to the board of directors of NewAmsterdam Pharma, a public biotechnology company, and has served as the chair of its audit committee since January 2022. From January 2022 to December 2023, Mr. Smither served as a member of the board of directors of Applied Molecular Transport Inc., a public biopharmaceutical company (acquired by Cyclo Therapeutics, Inc. in December 2023), as chair of its audit committee, and as a member of its compensation committee. From March 2018 to September 2023, Mr. Smither served as a member of the board of directors of eFFECTOR Therapeutics Inc., a public biopharmaceutical company, and its predecessor entity, as chair of its audit committee, and as a member of its nominating and corporate governance committee. Additionally, from December 2013 to May 2020, Mr. Smither served as a member of the board of directors of Achaogen, Inc., a biopharmaceutical company, as chair of its audit committee, and as a member of its compensation committee. Mr. Smither began his career at Ernst &amp; Young, where he was audit partner and held a certification as a Certified Public Accountant (inactive). He holds a B.S. in accounting, with honors, from California State University at Los Angeles.</w:t>
      </w:r>
    </w:p>
    <w:p>
      <w:pPr>
        <w:spacing w:after="0" w:line="3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Mr. Smither’s extensive experience as a chief financial officer and service on the boards of directors of other biotechnology and pharmaceutical companies qualifies him to serve on our Board.</w:t>
      </w:r>
    </w:p>
    <w:p>
      <w:pPr>
        <w:spacing w:after="0" w:line="15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ecommends</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A V</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the</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amed</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ominee</w:t>
      </w:r>
      <w:r>
        <w:rPr>
          <w:rFonts w:ascii="Times New Roman" w:cs="Times New Roman" w:eastAsia="Times New Roman" w:hAnsi="Times New Roman"/>
          <w:sz w:val="17"/>
          <w:szCs w:val="17"/>
          <w:b w:val="1"/>
          <w:b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Continuing in Office Until the 2027 Annual Meeting</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Mary Mirabelli</w:t>
      </w:r>
      <w:r>
        <w:rPr>
          <w:rFonts w:ascii="Times New Roman" w:cs="Times New Roman" w:eastAsia="Times New Roman" w:hAnsi="Times New Roman"/>
          <w:sz w:val="17"/>
          <w:szCs w:val="17"/>
          <w:i w:val="1"/>
          <w:iCs w:val="1"/>
          <w:color w:val="auto"/>
        </w:rPr>
        <w:t>, 69,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a member of the Board since June 2021. Most recently, Ms. Mirabelli served as the Senior Vice President at the Healthcare Finance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Association from April 2018 to November 2023. Previously, Ms. Mirabelli served as the Vice President of Global Healthcare Services at Hewlett Packard Enterprise Company from June 2014 to April 2018. Ms. Mirabelli served as a senior executive at Hospital Corporation of America from 2000 to 2014. Since January 2024, Ms. Mirabelli has served as a member on the board of directors of Health IT Leaders, a health information technology consulting firm. Ms. Mirabelli holds a B.S. in occupational therapy from University of Illinois at Urbana-Champaign and an M.B.A. in management from Northwestern University’s Kellogg Graduate School of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Ms. Mirabelli’s extensive experience managing and leading companies within the healthcare industry qualifies her to serve on our Board.</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John Thomas, Ph.D.</w:t>
      </w:r>
      <w:r>
        <w:rPr>
          <w:rFonts w:ascii="Times New Roman" w:cs="Times New Roman" w:eastAsia="Times New Roman" w:hAnsi="Times New Roman"/>
          <w:sz w:val="17"/>
          <w:szCs w:val="17"/>
          <w:i w:val="1"/>
          <w:iCs w:val="1"/>
          <w:color w:val="auto"/>
        </w:rPr>
        <w:t>, 68,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a member of the Board since September 2002. Dr. Thomas served as our first Chief Financial Officer from 2002 to 2004. Dr.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Thomas has been the Dean of the School of Business and Management at La Sierra University since 1999. Dr. Thomas has served on the boards of directors of ICON Business Bank, a financial institution, since June 2023, KSGN Good News Radio, a non-profit organization, since January 2004, Loma Linda Broadcasting Network International, a broadcasting network, since January 2009 and ADRA International, a humanitarian aid organization, as a member of the finance committee since September 2015. He previously served as a member of the board of directors of the Family Service Association, a non-profit public benefit health and human service agency, from 1992 to 2018. Dr. Thomas holds an M.B.A. in finance from Loma Linda University and an M.B.A. in marketing from Symbiosis Institute of Management Studies, an M.A. in international political economy from Claremont Graduate University and a Ph.D. in political economy from Claremont Graduate University.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We believe that Dr. Thomas’s extensive training, expertise and experience in finance qualifies him to serve on our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Continuing in Office Until the 2028 Annual Meeting</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James L. Tyree</w:t>
      </w:r>
      <w:r>
        <w:rPr>
          <w:rFonts w:ascii="Times New Roman" w:cs="Times New Roman" w:eastAsia="Times New Roman" w:hAnsi="Times New Roman"/>
          <w:sz w:val="17"/>
          <w:szCs w:val="17"/>
          <w:i w:val="1"/>
          <w:iCs w:val="1"/>
          <w:color w:val="auto"/>
        </w:rPr>
        <w:t>, 73,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a member of the Board since May 2012 and as our Lead Independent Director since July 2021. Mr. Tyree previously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Chairman of the Board from 2014 to 2021. Mr. Tyree is the retired co-founder and managing partner of Tyree &amp; D’Angelo Partners, a private equity investment firm founded in 2014. Prior to founding Tyree &amp; D’Angelo Partners, Mr. Tyree served as Executive Vice President and President of Abbott Biotech Ventures (Abbott), a subsidiary of Abbott Laboratories in 2012. Prior to that position, Mr. Tyree held numerous executive positions at Abbott, including Executive Vice President Global Pharmaceuticals, Senior Vice President Global Nutrition, Corporate Vice President Pharmaceutical and Nutritional Products Group Business Development and Divisional Vice President and General Manager, Japan from 1997 to 2000. Mr. Tyree also served as a member of the board of directors of ChemoCentryx, Inc., a biopharmaceutical company, since June 2012, until the company was sold to Amgen in 2022 and at that time was lead independent director. Mr. Tyree previously served as a member of the board of directors of SonarMed, Inc., a medical device company (now a subsidiary of Medtronic plc), from March 2012 to November 2022. Mr. Tyree served as a member of the board of directors and chair of the compensation committee of Assertio Holdings, Inc., a public pharmaceutical company, from October 2016 to April 2024. Mr. Tyree previously served as chairman of the board of directors of the Illinois Biotechnology Industry Organization, as a member of the Advisory Board of the University of Chicago Booth Graduate School of Business, and as a member of the Chicago Council on Global Affairs chairing the Global Health Policy Roundtable. Mr. Tyree earned his B.A. in psychology and forensic studies and an M.B.A. from Indiana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Mr. Tyree’s extensive experience in biotechnology and pharmaceuticals qualifies him to serve on our Board.</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Thomas D. Zindrick, J.D.</w:t>
      </w:r>
      <w:r>
        <w:rPr>
          <w:rFonts w:ascii="Times New Roman" w:cs="Times New Roman" w:eastAsia="Times New Roman" w:hAnsi="Times New Roman"/>
          <w:sz w:val="17"/>
          <w:szCs w:val="17"/>
          <w:i w:val="1"/>
          <w:iCs w:val="1"/>
          <w:color w:val="auto"/>
        </w:rPr>
        <w:t>, 67,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our President, Chief Executive Officer and a member of our Board since May 2014 and as our Chair since July 2021.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Currently, he serves as Executive Chair of Aeromics, Inc., a clinical-stage pharmaceutical company developing products for the treatment of edema in ischemic stroke, since August 2018. Mr. Zindrick served as Chief Executive Officer of Amitech Therapeutic Solutions, Inc., from March 2012 to May 2014. From 1993 to 2009, Mr. Zindrick was at Amgen Inc. (“Amgen”), a public commercial biotechnology company, where he held positions of increasing responsibility, including Vice President Associate General Counsel from 2001 to 2004 and again from 2008 to 2009. At Amgen, from 2004 to 2008, Mr. Zindrick served as Chief Compliance Officer. Prior to joining Amgen, Mr. Zindrick was an attorney at The Dow Chemical Company. Mr. Zindrick served on the board of directors of Amitech Therapeutic Solutions, Inc. from October 2011 to February 2021 and DNX Biopharmaceuticals, Inc. from November 2014 to March 2020. Mr. Zindrick received his J.D. from the University of Illinois College of Law and a B.A. in biology from North Central College in Naperville, Illinois.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Mr. Zindrick’s extensive experience managing and leading companies within the pharmaceutical and biotechnology industries qualifies him to serve on our Board.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b w:val="1"/>
          <w:bCs w:val="1"/>
          <w:color w:val="auto"/>
        </w:rPr>
        <w:t>information regarding the board of directors and 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ndependence of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Under the listing rules of The Nasdaq Stock Market LLC (“Nasdaq”), a majority of the members of our Board must qualify as “independent,” as affirmatively determined by our Board.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Nasdaq listing rules, as in effect from time to time.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each of Ms. Mirabelli, Dr. Thomas, Mr. Tyree and Mr. Smither, representing four of our five directors, is an independent director within the meaning of the applicable Nasdaq listing rules. In making this determination, the Board found that none of these directors or the nominee for director had a material or other disqualifying relationship with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1"/>
          <w:szCs w:val="11"/>
          <w:b w:val="1"/>
          <w:bCs w:val="1"/>
          <w:color w:val="auto"/>
        </w:rPr>
        <w:t>oard</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eadership</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tructure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Board is currently chaired by the President and Chief Executive Officer of the Company, Mr. Zindrick. Mr. Tyree serves as lead independent director.</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believes that combining the positions of Chief Executive Officer and Chairman helps to ensure that the Board and management act with a common purpose. In the Company’s view, separating the positions of Chief Executive Officer and Chairman has the potential to give rise to divided leadership, which could interfere with good decision-making or weaken the Company’s ability to develop and implement strategy. Instead, the Company believes that combining the positions of Chief Executive Officer and Chairman provides a single, clear chain of command to execute the Company’s strategic initiatives and business plans. In addition, the Company believes that a combined Chief Executive Officer/Chairman is well positioned to act as a bridge between management and the Board, facilitating the regular flow of information. The Company also believes that it is advantageous to have a Chairman with an extensive history with and knowledge of the Company (as is the case with the Company’s Chief Executive Officer).</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Because Mr. Zindrick has served and continues to serve in both these roles, our Board appointed Mr. Tyree as the lead independent director to help reinforce the independence of the Board as a whole. The position of lead independent director has been structured to serve as an effective balance to a combined Chief Executive Officer/Chairman: the lead independent director is empowered to, among other duties and responsibilities, approve agendas and meeting schedules for regular Board meetings, preside over Board meetings in the absence of the Chair, preside over and establish the agendas for meetings of the independent directors, act as liaison between the Chair and the independent directors, approve information sent to the Board, preside over any portions of Board meetings at which the evaluation or compensation of the Chief Executive Officer is presented or discussed and, as appropriate upon request, act as a liaison to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well positioned to build a consensus among directors and to serve as a conduit between the other independent directors and the Chairman, for example, by facilitating the inclusion on meeting agendas of matters of concern to the independent directors. In light of the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combine the positions of Chief Executive Officer and Chairman.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ole of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in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isk</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versight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One of the key functions of our Board is informed oversight of our risk management process. Our Board does not have a standing risk management committee, but rather administers this oversight function directly through the Board, as a whole, as well as through various standing committees of our Board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risks, including financial risk exposures and cybersecurity risks, and the steps our management has taken to monitor and control these exposures, including guidelines and policies to govern the process by which risk assessment and management is undertaken. The Audit Committee reviews cybersecurity risk, as part of its review of our cybersecurity framework, measures, tools, and compliance, on at least an annual basis. The Audit Committee also monitors compliance with legal and regulatory requirements, in addition to oversight of the performance of our internal audit function. Our Nominating Committee monitors the effectiveness of our corporate governance practices, including whether they are successful in preventing illegal or improper liability-creating conduct. The Compensation Committee of our Board (“Compensation Committee”) assesses and monitors whether any of our compensation policies and programs has the potential to encourage excessive risk-taking.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ommitment to</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orporate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esponsibility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company focused on developing a pipeline of next-generation oncolytic viral immunotherapies for patients suffering from aggressive and/or difficult-to-treat tumor types, we strive to identify ways to enhance and deliver on our commitment to patients, the medical community, our employees, our investors and our other stakeholders. Accordingly, we recognize the intersection between environmental, social and governance practices and these objectives. Given this, in 2025, we focused on the following areas: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Environmental Impact. </w:t>
      </w:r>
      <w:r>
        <w:rPr>
          <w:rFonts w:ascii="Times New Roman" w:cs="Times New Roman" w:eastAsia="Times New Roman" w:hAnsi="Times New Roman"/>
          <w:sz w:val="17"/>
          <w:szCs w:val="17"/>
          <w:color w:val="auto"/>
        </w:rPr>
        <w:t>We are cognizant of the impact we have on our broader environment and have supported several green measures in an effort to reduce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carbon footprint, including reducing air travel, allowing our employees to work remotely, providing reusable dishes and cutlery to employees, making available electric car chargers at several of our offices, and facilitating paperless operations for our clinical trials and the use of electronic investigator files, eConsent forms and digital logs. Further, as we expand and grow, we are committed to doing so in an environmentally responsible way, and will endeavor to improve efficiencies and minimize our carbon footprint wherever practicable.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Social Impact. </w:t>
      </w:r>
      <w:r>
        <w:rPr>
          <w:rFonts w:ascii="Times New Roman" w:cs="Times New Roman" w:eastAsia="Times New Roman" w:hAnsi="Times New Roman"/>
          <w:sz w:val="17"/>
          <w:szCs w:val="17"/>
          <w:color w:val="auto"/>
        </w:rPr>
        <w:t>Our future performance depends significantly upon the continued service of our key scientific, technical and senior management personnel and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 ability to attract and retain highly skilled employees. We provide our employees with competitive compensation, development programs that enable continued learning and growth and a robust employment package that promotes employee well-being. In addition to salaries, these programs include potential annual discretionary bonuses, stock option and restricted stock unit awards, a 401(k) plan, ESPP plan, healthcare and insurance benefits, flexible spending accounts, paid time off, family leave and flexible work schedules, among other benefits. We are committed to patients and to the communities in which we operate.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Diversity and Inclusion. </w:t>
      </w:r>
      <w:r>
        <w:rPr>
          <w:rFonts w:ascii="Times New Roman" w:cs="Times New Roman" w:eastAsia="Times New Roman" w:hAnsi="Times New Roman"/>
          <w:sz w:val="17"/>
          <w:szCs w:val="17"/>
          <w:color w:val="auto"/>
        </w:rPr>
        <w:t>We strive to invest in and create ongoing opportunities for employee development in a diverse and inclusive environment in which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team member plays a unique and vital role. We believe that a diverse workforce not only positively impacts our performance and strengthens our culture, but also cultivates an essential pipeline of experienced leaders for management. Hiring for diversity of backgrounds, perspectives and experience continues to be an area of focus as we grow.</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Ethics and Corporate Governance. </w:t>
      </w:r>
      <w:r>
        <w:rPr>
          <w:rFonts w:ascii="Times New Roman" w:cs="Times New Roman" w:eastAsia="Times New Roman" w:hAnsi="Times New Roman"/>
          <w:sz w:val="17"/>
          <w:szCs w:val="17"/>
          <w:color w:val="auto"/>
        </w:rPr>
        <w:t>We aspire, and expect our suppliers, to maintain the highest standards of business conduct and ethics. All of our employees,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and directors are required to adhere to the Genelux Corporation Code of Conduct (the “Code of Conduct”), which provides, among other things, that all of our employees, officers and directors must maintain the highest standards of business conduct and ethics and conduct internal and external affairs in an honest and ethical manner.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eetings of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met 15 times during the last fiscal year. Each Board member attended 75% or more of the aggregate number of meetings of the Board and the committees on which he or she served that were held during the portion of the last fiscal year for which he or she was a director or committee member. Although we do not have a formal policy regarding attendance by Board members at annual meetings of stockholders, we encourage our directors to attend such meetings. All of the Board members attended the 2025 annual meeting.</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required under applicable Nasdaq listing rules, in fiscal year 2025, the Company’s independent directors met 5 times in regularly scheduled executive sessions at which only independent directors were present.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nformation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egarding</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ommittees of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has three committees: the Audit Committee, the Compensation Committee and the Nominating Committee. The following table provides membership and meeting information for fiscal year 2025 for each of the Board committees: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Nominating and</w:t>
            </w:r>
          </w:p>
        </w:tc>
      </w:tr>
      <w:tr>
        <w:trPr>
          <w:trHeight w:val="22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Corporate Governance</w:t>
            </w:r>
          </w:p>
        </w:tc>
      </w:tr>
      <w:tr>
        <w:trPr>
          <w:trHeight w:val="195"/>
        </w:trPr>
        <w:tc>
          <w:tcPr>
            <w:tcW w:w="20" w:type="dxa"/>
            <w:vAlign w:val="bottom"/>
          </w:tcPr>
          <w:p>
            <w:pPr>
              <w:spacing w:after="0"/>
              <w:rPr>
                <w:sz w:val="16"/>
                <w:szCs w:val="16"/>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Ms. Mary Mirabelli</w:t>
            </w:r>
          </w:p>
        </w:tc>
        <w:tc>
          <w:tcPr>
            <w:tcW w:w="22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2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20" w:type="dxa"/>
            <w:vAlign w:val="bottom"/>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Dr. John Thomas</w:t>
            </w:r>
          </w:p>
        </w:tc>
        <w:tc>
          <w:tcPr>
            <w:tcW w:w="2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40"/>
        </w:trPr>
        <w:tc>
          <w:tcPr>
            <w:tcW w:w="20" w:type="dxa"/>
            <w:vAlign w:val="bottom"/>
          </w:tcPr>
          <w:p>
            <w:pPr>
              <w:spacing w:after="0"/>
              <w:rPr>
                <w:sz w:val="20"/>
                <w:szCs w:val="20"/>
                <w:color w:val="auto"/>
              </w:rPr>
            </w:pPr>
          </w:p>
        </w:tc>
        <w:tc>
          <w:tcPr>
            <w:tcW w:w="516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Mr. James L. Tyree</w:t>
            </w:r>
            <w:r>
              <w:rPr>
                <w:rFonts w:ascii="Times New Roman" w:cs="Times New Roman" w:eastAsia="Times New Roman" w:hAnsi="Times New Roman"/>
                <w:sz w:val="27"/>
                <w:szCs w:val="27"/>
                <w:color w:val="auto"/>
                <w:vertAlign w:val="superscript"/>
              </w:rPr>
              <w:t>1</w:t>
            </w: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Mr. John Smither</w:t>
            </w:r>
          </w:p>
        </w:tc>
        <w:tc>
          <w:tcPr>
            <w:tcW w:w="2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X*</w:t>
            </w:r>
          </w:p>
        </w:tc>
        <w:tc>
          <w:tcPr>
            <w:tcW w:w="2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Thomas D. Zindrick, J.D.</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Total meetings in fiscal year 2025</w:t>
            </w:r>
          </w:p>
        </w:tc>
        <w:tc>
          <w:tcPr>
            <w:tcW w:w="204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6</w:t>
            </w:r>
          </w:p>
        </w:tc>
        <w:tc>
          <w:tcPr>
            <w:tcW w:w="202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3"/>
              </w:rPr>
              <w:t>8</w:t>
            </w:r>
          </w:p>
        </w:tc>
        <w:tc>
          <w:tcPr>
            <w:tcW w:w="200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w w:val="93"/>
              </w:rPr>
              <w:t>5</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Committee Chairperson</w:t>
      </w:r>
    </w:p>
    <w:p>
      <w:pPr>
        <w:ind w:left="120" w:hanging="119"/>
        <w:spacing w:after="0" w:line="195" w:lineRule="auto"/>
        <w:tabs>
          <w:tab w:leader="none" w:pos="12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Tyree was appointed as a member of each of the Audit Committee, Compensation Committee and Nominating Committee in January 2025.</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Below is a description of each committee of the Board. The Board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duties and responsibilities of our Audit Committee include, among other things:</w:t>
      </w:r>
    </w:p>
    <w:p>
      <w:pPr>
        <w:spacing w:after="0" w:line="208" w:lineRule="exact"/>
        <w:rPr>
          <w:sz w:val="20"/>
          <w:szCs w:val="20"/>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and assessing the qualifications of the independent auditors;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and approving the engagement of the independent auditors;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whether to retain or terminate the existing independent auditors or to appoint and engage new independent auditors;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retention of the independent auditors to perform any proposed permissible non-audit services;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rotation of partners of the independent auditors on the Company’s audit engagement team as required by law;</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rejecting transactions between the Company and any related persons;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conferring with management and the independent auditors regarding the effectiveness of internal control over financial reporting;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6" w:name="page17"/>
    <w:bookmarkEnd w:id="16"/>
    <w:p>
      <w:pPr>
        <w:jc w:val="both"/>
        <w:ind w:left="600" w:hanging="297"/>
        <w:spacing w:after="0" w:line="25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including Critical Audit Matters (CAMs);</w:t>
      </w: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information technology risk exposures, including cybersecurity, data privacy and data security; and</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Audit Committee is composed of four directors: Ms. Mirabelli, Mr. Smither, Mr. Tyree and Dr. Thomas, who serves as the committee’s chair. The Audit Committee met six times during fiscal year 2025. The Board has adopted a written Audit Committee charter that is available to stockholders on the Company’s website at https://investors.genelux.com/corporate-governance/documents-charters.</w:t>
      </w:r>
    </w:p>
    <w:p>
      <w:pPr>
        <w:spacing w:after="0" w:line="16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Board reviews the Nasdaq listing rules definition of independence for Audit Committee members on an annual basis and has determined that all members of the Audit Committee are independent (as independence is currently defined in Nasdaq Listing Rule 5605(c)(2)(A)(i) and (ii) and Rule 10A-3(b)(1) of the Exchange Act).</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member of the Audit Committee can read and understand fundamental financial statements in accordance with applicable requirements. In arriving at these determinations, the Board has examined each Audit Committee member’s scope of experience and the nature of their employment.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has also determined that Dr. Thomas qualifies as an “audit committee financial expert” within the meaning of Item 407(d)(5) of Regulation S-K. The Board made a qualitative assessment of Dr. Thomas’s level of knowledge and experience based on a number of factors, including his formal education and his prior financial experience.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Audit Committee has reviewed and discussed the audited consolidated financial statements for the fiscal year ended December 31, 2025 with management of the Company. The Audit Committee has discussed with the independent registered public accounting firm the matters required to be discussed under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the Board that the audited consolidated financial statements be included in our Annual Report on Form 10-K for the fiscal year ended December 31,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Dr. John Thomas (Chair)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Ms. Mary Mirabelli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Mr. John Smither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Mr. James L. Tyree</w:t>
      </w:r>
    </w:p>
    <w:p>
      <w:pPr>
        <w:spacing w:after="0" w:line="188" w:lineRule="exact"/>
        <w:rPr>
          <w:sz w:val="20"/>
          <w:szCs w:val="20"/>
          <w:color w:val="auto"/>
        </w:rPr>
      </w:pPr>
    </w:p>
    <w:p>
      <w:pPr>
        <w:jc w:val="both"/>
        <w:ind w:firstLine="1"/>
        <w:spacing w:after="0" w:line="263" w:lineRule="auto"/>
        <w:tabs>
          <w:tab w:leader="none" w:pos="129"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material in this report is not “soliciting material,” is not deemed “filed” with the SEC and is not to be incorporated by reference in any of our filings under the Exchange Act or the Securities Act of 1933, as amended, whether made before or after the date hereof and irrespective of any general incorporation language in any such filing.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Compensation Committee is currently composed of four directors: Ms. Mirabelli, Dr. Thomas, Mr. Tyree and Mr. Smither, who serves as the committee’s chair. All members of the Compensation Committee are independent (as independence is currently defined in Nasdaq Listing Rule 5605(d)(2)) and a “non-employee director” as defined in Rule 16b-3 promulgated under the Exchange Act. The Compensation Committee met eight times during fiscal year 2025. The Board has adopted a written Compensation Committee charter that is available to stockholders on the Company’s website at https://investors.genelux.com/corporate-governance/documents-charters.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7" w:name="page18"/>
    <w:bookmarkEnd w:id="17"/>
    <w:p>
      <w:pPr>
        <w:spacing w:after="0" w:line="274" w:lineRule="auto"/>
        <w:rPr>
          <w:sz w:val="20"/>
          <w:szCs w:val="20"/>
          <w:color w:val="auto"/>
        </w:rPr>
      </w:pPr>
      <w:r>
        <w:rPr>
          <w:rFonts w:ascii="Times New Roman" w:cs="Times New Roman" w:eastAsia="Times New Roman" w:hAnsi="Times New Roman"/>
          <w:sz w:val="17"/>
          <w:szCs w:val="17"/>
          <w:color w:val="auto"/>
        </w:rPr>
        <w:t>The Compensation Committee acts on behalf of the Board to review, modify, approve, make recommendations to the Board regarding and oversee the Company’s compensation strategy, policies, plans and programs, including:</w:t>
      </w:r>
    </w:p>
    <w:p>
      <w:pPr>
        <w:spacing w:after="0" w:line="159" w:lineRule="exact"/>
        <w:rPr>
          <w:sz w:val="20"/>
          <w:szCs w:val="20"/>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corporate and individual performance objectives relevant to the compensation of the Company’s executive officers, directors and other senior management and evaluating performance in light of these stated objectives;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and other terms of employment or service, including severance and change-in-control arrangements, of the Company’s Chief Executive Officer and the other executive officers and directors;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with respect to the Company’s equity compensation plans, pension and profit-sharing plans, deferred compensation plans and other similar plan and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 Processes and Procedures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Typically, the Compensation Committee meets at least quarterly and with greater frequency if necessary. The agenda for each meeting is usually developed by the Chair of the Compensation Committee, in consultation with the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does not participate in, and is not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past fiscal year, after taking into consideration the six factors prescribed by the SEC and Nasdaq described above, the Compensation Committee engaged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PayGovernance as its compensation consultant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Compensation Committee requested that PayGovernance</w:t>
      </w:r>
      <w:r>
        <w:rPr>
          <w:rFonts w:ascii="Times New Roman" w:cs="Times New Roman" w:eastAsia="Times New Roman" w:hAnsi="Times New Roman"/>
          <w:sz w:val="17"/>
          <w:szCs w:val="17"/>
          <w:b w:val="1"/>
          <w:bCs w:val="1"/>
          <w:color w:val="auto"/>
        </w:rPr>
        <w:t>:</w:t>
      </w:r>
    </w:p>
    <w:p>
      <w:pPr>
        <w:spacing w:after="0" w:line="192" w:lineRule="exact"/>
        <w:rPr>
          <w:sz w:val="20"/>
          <w:szCs w:val="20"/>
          <w:color w:val="auto"/>
        </w:rPr>
      </w:pPr>
    </w:p>
    <w:p>
      <w:pPr>
        <w:ind w:left="600" w:hanging="297"/>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efficacy of the Company’s existing compensation strategy and practices in supporting and reinforcing the Company’s long-term strategic goals; and</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in refining the Company’s compensation strategy and in developing and implementing an executive compensation program to execute that strategy.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part of its engagement, PayGovernance was requested by the Compensation Committee to compile market data for a comparative group of companies and to perform analyses of competitive performance and compensation levels for that group and provide an overall assessment of the Company’s executive compensation programs in comparison to executive compensation programs at selected publicly traded peer companies. At the request of the Compensation Committee, in 2025, PayGovernance also conducted individual interviews with members of the Compensation Committee and senior management to learn more about the Company’s business operations and strategy, key performance metrics and strategic goals, as well as the labor markets in which the Company competes. PayGovernance ultimately developed recommendations for our 2025 compensation program that were presented to the Compensation Committee for its consideration. Following an active dialogue with PayGovernance, the Compensation Committee approved the recommendations of PayGovernance.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8" w:name="page19"/>
    <w:bookmarkEnd w:id="18"/>
    <w:p>
      <w:pPr>
        <w:jc w:val="both"/>
        <w:spacing w:after="0" w:line="249" w:lineRule="auto"/>
        <w:rPr>
          <w:sz w:val="20"/>
          <w:szCs w:val="20"/>
          <w:color w:val="auto"/>
        </w:rPr>
      </w:pPr>
      <w:r>
        <w:rPr>
          <w:rFonts w:ascii="Times New Roman" w:cs="Times New Roman" w:eastAsia="Times New Roman" w:hAnsi="Times New Roman"/>
          <w:sz w:val="17"/>
          <w:szCs w:val="17"/>
          <w:color w:val="auto"/>
        </w:rPr>
        <w:t>Historically, the Compensation Committee has made most of the significant adjustments to annual compensation, determined bonus and equity awards and established new performance objectives at one or more meetings held during the fourth quarter or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Nominating Committee is responsible for identifying, reviewing and evaluating candidates to serve as directors of the Company (consistent with criteria approved by the Board), reviewing and evaluating incumbent directors, selecting or recommending to the Board for selection candidates for election to the Board, making recommendations to the Board regarding the membership of the committees of the Board, assessing the performance of the Board, and developing a set of corporate governance principles for the Company.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Nominating Committee is composed of four directors: Dr. Thomas, Mr. Smither, Mr. Tyree and Ms. Mirabelli, who serves as the committee’s chair. All members of the Nominating Committee are independent (as independence is currently defined in Nasdaq Listing Rule 5605(a)(2)). The Nominating Committee met five times during fiscal year 2025. The Board has adopted a written Nominating Committee charter that is available to stockholders on the Company’s website at https://investors.genelux.com/corporate-governance/documents-charters.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Nominating Committee believes that candidates for director should have certain minimum qualifications, including the ability to read and understand basic financial statements and having the highest personal integrity and ethics. The Nominating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Committee typically considers expertise, judgment, experience, commitment, diversity, age, skills and such other factors as it deems appropriate, given the current needs of the Board and the Company, to maintain a balance of knowledge, experience and capability.</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Nominating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Committee reviews these directors’ overall service to the Company during their terms, including the number of meetings attended, level of participation, quality of performance and any other relationships and transactions that might impair the directors’ independence. The Nominating Committee also takes into account the results of the Board’s self-evaluation, conducted annually on a group and individual basis and every three years, conducted with an outside consultant. In the case of new director candidates, the Nominating Committee also determines whether the nominee is independent for Nasdaq purposes, which determination is based upon applicable Nasdaq listing rules, applicable SEC rules and regulations and the advice of counsel, if necessary. The Nominating Committee then uses its network of contacts to compile a list of potential candidates, but may also engage, if it deems appropriate, a professional search firm. The Nominating Committee conducts any appropriate and necessary inquiries into the backgrounds and qualifications of possible candidates after considering the function and needs of the Board. The Nominating Committee meets to discuss and consider the candidates’ qualifications and then selects a nominee for recommendation to the Board by majority vote.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 w:name="page20"/>
    <w:bookmarkEnd w:id="19"/>
    <w:p>
      <w:pPr>
        <w:jc w:val="both"/>
        <w:spacing w:after="0" w:line="251" w:lineRule="auto"/>
        <w:rPr>
          <w:sz w:val="20"/>
          <w:szCs w:val="20"/>
          <w:color w:val="auto"/>
        </w:rPr>
      </w:pPr>
      <w:r>
        <w:rPr>
          <w:rFonts w:ascii="Times New Roman" w:cs="Times New Roman" w:eastAsia="Times New Roman" w:hAnsi="Times New Roman"/>
          <w:sz w:val="17"/>
          <w:szCs w:val="17"/>
          <w:color w:val="auto"/>
        </w:rPr>
        <w:t>In recommending candidates for nomination to our Board, the Nominating Committee considers candidates recommended by directors, officers and employees, as well as candidates that are properly submitted by stockholders in accordance with our policies and Bylaws, using the same criteria to evaluate all such candidates. The Nominating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Committee to become nominees for election to the Board may do so by delivering a written recommendation to the Nominating Committee at 2625 Townsgate Road, Suite 230, Westlake Village, California 91361, Attn: Secretary. Submissions must include, among other things, the candidate’s name, age, business address and residence address, certain biographical data, including the nominee’s principal occupation or employment, and the number and class of Genelux shares that are owned of record and beneficially by such nominee. Any such submission must be accompanied by the written consent of the proposed nominee to be named as a nominee and to serve as a director if elected.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tockholder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ommunications with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Board has adopted a formal communications process by which stockholders may communicate with the Board or any of its directors. Stockholders of the Company wishing to communicate with the Board or an individual director may send a written communication to the Board or such director c/o Genelux Corporation, 2625 Townsgate Road, Suite 230, Westlake Village, CA 91361, Attn: Secretary. Each communication must set forth (i) the name and address of the stockholder on whose behalf the communication is sent and (ii) the number of Company shares that are owned beneficially by such stockholder as of the date of the communication. 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ode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onduct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adopted the Code of Conduct that applies to all officers, directors and employees, including our principal executive officer, principal financial officer, principal accounting officer or controller, or persons performing similar functions. The Code of Conduct is available on the Company’s website at https://investors.genelux.com/corporate-governance/documents-charters. If we ever were to amend or waive any provision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rather than by filing a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nsider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rading and</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edging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has adopted an insider trading policy (“Insider Trading Policy”) pursuant to which none of our officers, directors, consultants or other employees may engage in short sales, transactions in put or call options, hedging transactions or other inherently speculative transactions with respect to our capital stock at any time. In addition, none of our officers, directors, consultants or other employees may margin, or make any offer to margin, or otherwise pledge as security, any of our capital stock, including without limitation, borrowing against such stock, at any time.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Notwithstanding the above, the Insider Trading Policy also governs the purchase, sale, and/or other dispositions of securities by directors, officers and employees in a manner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SELECTION OF INDEPENDENT REGISTERED PUBLIC ACCOUNTING FIRM</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Audit Committee has selected Weinberg &amp; Company, P.A. as the Company’s independent registered public accounting firm for the fiscal year ending December 31, 2026 and our Board has further directed that management submit the Audit Committee’s selection of its independent registered public accounting firm for ratification by the stockholders at the Annual Meeting. Representatives of Weinberg &amp; Company, P.A. are expected to be present by virtual attendance at the Annual Meeting. They will have an opportunity to make a statement if they so desire and will be available to respond to appropriate questions.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Neither the Company’s Bylaws nor other governing documents or law require stockholder ratification of the selection of Weinberg &amp; Company, P.A. as the Company’s independent registered public accounting firm. However, the Audit Committee is submitting the selection of Weinberg &amp; Company, P.A.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rincipal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ccountant</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ees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ervices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Weinberg &amp; Company, P.A. (Los Angeles, California, PCAOB Auditor ID: 572), who performed our audit services for fiscal year 2025 and 2024 including an audit of the financial statements and services related to filings with the SEC, has served as our independent registered public accounting firm since 2021.</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following table represents aggregate fees billed to the Company for the fiscal years ended December 31, 2025 and 2024 by Weinberg &amp; Company, P.A., our independent registered public accounting firm.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9"/>
              </w:rPr>
              <w:t>Fees for</w:t>
            </w:r>
          </w:p>
        </w:tc>
        <w:tc>
          <w:tcPr>
            <w:tcW w:w="220" w:type="dxa"/>
            <w:vAlign w:val="bottom"/>
          </w:tcPr>
          <w:p>
            <w:pPr>
              <w:spacing w:after="0"/>
              <w:rPr>
                <w:sz w:val="17"/>
                <w:szCs w:val="17"/>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Fees for</w:t>
            </w:r>
          </w:p>
        </w:tc>
      </w:tr>
      <w:tr>
        <w:trPr>
          <w:trHeight w:val="222"/>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7"/>
              </w:rPr>
              <w:t>Fiscal Year 2025</w:t>
            </w:r>
          </w:p>
        </w:tc>
        <w:tc>
          <w:tcPr>
            <w:tcW w:w="220" w:type="dxa"/>
            <w:vAlign w:val="bottom"/>
          </w:tcPr>
          <w:p>
            <w:pPr>
              <w:spacing w:after="0"/>
              <w:rPr>
                <w:sz w:val="19"/>
                <w:szCs w:val="19"/>
                <w:color w:val="auto"/>
              </w:rPr>
            </w:pP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Fiscal Year 2024</w:t>
            </w:r>
          </w:p>
        </w:tc>
      </w:tr>
      <w:tr>
        <w:trPr>
          <w:trHeight w:val="19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279,435</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185,147</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137,265</w:t>
            </w: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279,435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322,412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Audit Fees</w:t>
      </w:r>
      <w:r>
        <w:rPr>
          <w:rFonts w:ascii="Times New Roman" w:cs="Times New Roman" w:eastAsia="Times New Roman" w:hAnsi="Times New Roman"/>
          <w:sz w:val="17"/>
          <w:szCs w:val="17"/>
          <w:color w:val="auto"/>
        </w:rPr>
        <w:t>. This category consists of the annual audit of our financial statements and the interim reviews of the quarterly financial statements and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rendered in connection with registration statements, including comfort letters and consents.</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All Other Fees</w:t>
      </w:r>
      <w:r>
        <w:rPr>
          <w:rFonts w:ascii="Times New Roman" w:cs="Times New Roman" w:eastAsia="Times New Roman" w:hAnsi="Times New Roman"/>
          <w:sz w:val="17"/>
          <w:szCs w:val="17"/>
          <w:color w:val="auto"/>
        </w:rPr>
        <w:t>. This category consists of fees for all other services that are not reported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fees incurred subsequent to our initial public offering in January 2023 were pre-approved by our Audit Committee.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Audit Committee has adopted a policy and procedures for the pre-approval of audit and non-audit services rendered by our independent registered public accounting firm, Weinberg &amp; Company, P.A.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shall be reported to the full Audit Committee at its next scheduled meeting.</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Audit Committee has determined that the rendering of services other than audit services by Weinberg &amp; Company, P.A. is compatible with maintaining the principal accountant’s independence.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ecommends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a </w:t>
      </w: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1"/>
          <w:szCs w:val="11"/>
          <w:b w:val="1"/>
          <w:bCs w:val="1"/>
          <w:color w:val="auto"/>
        </w:rPr>
        <w:t xml:space="preserve">ote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6"/>
          <w:szCs w:val="16"/>
          <w:b w:val="1"/>
          <w:bCs w:val="1"/>
          <w:color w:val="auto"/>
        </w:rPr>
        <w:t>” P</w:t>
      </w:r>
      <w:r>
        <w:rPr>
          <w:rFonts w:ascii="Times New Roman" w:cs="Times New Roman" w:eastAsia="Times New Roman" w:hAnsi="Times New Roman"/>
          <w:sz w:val="11"/>
          <w:szCs w:val="11"/>
          <w:b w:val="1"/>
          <w:bCs w:val="1"/>
          <w:color w:val="auto"/>
        </w:rPr>
        <w:t xml:space="preserve">roposal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of our executive officers serves at the discretion of the Board. The determination as to which of our employees qualify as executive officers was made by the Board in accordance with the rules of the SEC. The following table identifies our current executive officers, their ages, and their respective offices and positions as of the date of this proxy statement. Biographical information for such executive officers is set forth below. There are no family relationships among any of our directors or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740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02"/>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Officers:</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auto"/>
            </w:tcBorders>
            <w:shd w:val="clear" w:color="auto" w:fill="CCEEFF"/>
          </w:tcPr>
          <w:p>
            <w:pPr>
              <w:spacing w:after="0"/>
              <w:rPr>
                <w:sz w:val="17"/>
                <w:szCs w:val="17"/>
                <w:color w:val="auto"/>
              </w:rPr>
            </w:pP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D. Zindrick, J.D.</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67</w:t>
            </w: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President, Chief Executive Officer and Chairman</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Jason Litten, M.D.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Chief Medical Officer</w:t>
            </w: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Pulisic, M.B.A.</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Ralph Smalling</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Head of Regulatory</w:t>
            </w: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Cappello, Ph.D.</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Technical Officer</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Groen, J.D.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Counsel, Corporate Secretary, Chief Compliance Officer and Head of Business Development</w:t>
            </w:r>
          </w:p>
        </w:tc>
      </w:tr>
      <w:tr>
        <w:trPr>
          <w:trHeight w:val="218"/>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Tony Yu, Ph.D.</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Senior Vice President, Clinical Development</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Thomas D. Zindrick, J.D. </w:t>
      </w:r>
      <w:r>
        <w:rPr>
          <w:rFonts w:ascii="Times New Roman" w:cs="Times New Roman" w:eastAsia="Times New Roman" w:hAnsi="Times New Roman"/>
          <w:sz w:val="17"/>
          <w:szCs w:val="17"/>
          <w:color w:val="auto"/>
        </w:rPr>
        <w:t>Biographical information regarding Mr. Zindrick is set forth under “Proposal 1: Election of Director.”</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Jason Litten, M.D. </w:t>
      </w:r>
      <w:r>
        <w:rPr>
          <w:rFonts w:ascii="Times New Roman" w:cs="Times New Roman" w:eastAsia="Times New Roman" w:hAnsi="Times New Roman"/>
          <w:sz w:val="17"/>
          <w:szCs w:val="17"/>
          <w:color w:val="auto"/>
        </w:rPr>
        <w:t>has served as our Chief Medical Officer since January 2026. Prior to that, he served as the Chief Medical Officer of Chimeric Therapeutics, Ltd.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July 2022 to December 2025. From August 2019 to March 2022, Dr. Litten served as the Chief Medical Officer at Artiva Biotherapeutics, Inc. where he built and led Artiva’s clinical and regulatory functions. From January 2019 to June 2019, Dr. Litten served as Chief Medical Officer at Optera Therapeutics Corp., and from September 2016 to May 2018, Dr. Litten was the Vice President of Clinical Development overseeing solid tumor programs at Juno Therapeutics, Inc. Before Juno, he was Vice President of Clinical Development at Clovis Oncology, Inc. Dr. Litten started his industry career in Oncology Clinical Development at Amgen. Dr. Litten holds a B.S. in Finance and Economics from Cornell University and M.D. from Emory University. After medical school, he completed a Residency in General Pediatrics at University of Miami and a Clinical Fellowship in Pediatric Hematology &amp; Oncology at UT Southwestern Medical Center at Dallas.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Matthew Pulisic, M.B.A. </w:t>
      </w:r>
      <w:r>
        <w:rPr>
          <w:rFonts w:ascii="Times New Roman" w:cs="Times New Roman" w:eastAsia="Times New Roman" w:hAnsi="Times New Roman"/>
          <w:sz w:val="17"/>
          <w:szCs w:val="17"/>
          <w:color w:val="auto"/>
        </w:rPr>
        <w:t>has served as our Chief Financial Officer since January 2025. Mr. Pulisic most recently served as Vice President of Finance at Arrowhead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Pharmaceuticals, a publicly traded RNAi technology company, from August 2020 to January 2025. Prior to that, Mr. Pulisic served as Head of Finance for Global Product Development, R&amp;D, Global Marketing &amp; Sourcing at HARMAN International, a standalone subsidiary of Samsung Electronics Co. Ltd., from August 2019 to August 2020. He began his career at Amgen in April 2006 as a Research Associate and transitioned into finance where he held positions of increasing responsibility, including Commercial Finance, Corporate Finance, Treasury, Finance Director of Amgen Worldwide and Head of Capital Finance, spanning from 2007 to 2019. Mr. Pulisic received his M.B.A. in finance from the California Lutheran University and a B.S. in Biochemistry and Molecular Biology from the University of California, Santa Cruz.</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Ralph Smalling </w:t>
      </w:r>
      <w:r>
        <w:rPr>
          <w:rFonts w:ascii="Times New Roman" w:cs="Times New Roman" w:eastAsia="Times New Roman" w:hAnsi="Times New Roman"/>
          <w:sz w:val="17"/>
          <w:szCs w:val="17"/>
          <w:color w:val="auto"/>
        </w:rPr>
        <w:t>has served as our Head of Regulatory since July 2023. From 2005 to present, Mr. Smalling has served as Principal Consultant at Linus Consulting,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LLC and has provided regulatory support to numerous companies, including Aeromics, a clinical-stage biopharmaceutical company since March 2019; Medicines Development for Global Health, a non-profit pharmaceutical organization since February 2014; and Lanier Biotherapeutics, a biotechnology company since September 2022. Mr. Smalling serves as a member of the board of directors for SymBio Pharmaceuticals, Inc., a global pharmaceutical company since April 2025. Mr. Smalling has over 40 years of experience in the biopharmaceutical industry, with expertise in all aspects of regulatory development and international safety. From February 1982 to May 2005, he served at Amgen in positions of increasing responsibility, including Vice President of Regulatory Affairs and International Safety. Under his leadership, Amgen obtained marketing authorizations, supplemental approvals and orphan drug designations in the United States, Europe, Canada and Australia for numerous products. Mr. Smalling was a member of the industry team that negotiated PDUFA II and drafted several of the provisions included in the FDAMA legislation passed by Congress in 1997. Mr. Smalling earned an M.S. in Microbiology from California State University, Long Beach, and a B.A. in Biology from Occidental College.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Joseph Cappello, Ph.D. </w:t>
      </w:r>
      <w:r>
        <w:rPr>
          <w:rFonts w:ascii="Times New Roman" w:cs="Times New Roman" w:eastAsia="Times New Roman" w:hAnsi="Times New Roman"/>
          <w:sz w:val="17"/>
          <w:szCs w:val="17"/>
          <w:color w:val="auto"/>
        </w:rPr>
        <w:t>has served as our Chief Technical Officer since July 2023. He previously served as our General Manager of Manufacturing since September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2018 and our Vice President of Pharmaceutical Development since November 2012. From 1988 to 2010, Dr. Cappello served as the Vice President and Chief Technology Officer of Protein Polymer Technologies Inc. From January to September 2012, Dr. Cappello served as the Director and General Manager in the Biological Test Center of B. Braun Medical Inc. Dr. Cappello earned his Ph.D. in Biological Chemistry from the University of Cincinnati, College of Medicine, and his B.S. in Molecular and General Genetics from the University of California, Davis.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Eric Groen, J.D. </w:t>
      </w:r>
      <w:r>
        <w:rPr>
          <w:rFonts w:ascii="Times New Roman" w:cs="Times New Roman" w:eastAsia="Times New Roman" w:hAnsi="Times New Roman"/>
          <w:sz w:val="17"/>
          <w:szCs w:val="17"/>
          <w:color w:val="auto"/>
        </w:rPr>
        <w:t>has served as our General Counsel, Corporate Secretary, Chief Compliance Officer and Head of Business Development since July 2025. Prior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joining us, Mr. Groen served as general counsel for Rani Therapeutics Holdings, Inc., a clinical-stage, public biotechnology company, from July 2021 to May 2025. Mr. Groen also led business development at Rani Therapeutics from February 2022 to May 2023. Previously, from September 2001 to July 2021, Mr. Groen served in various domestic and international roles of increasing responsibility at Amgen, including leading the legal teams responsible for business development transactions, operations and manufacturing, and clinical trials. He also served as regional general counsel to Amgen’s commercial business in Canada, Latin America, Middle East and Africa. From January 1999 to August 2001, Mr. Groen was corporate counsel at HealthNet, a public holding company of managed care and other healthcare entities. Prior to that, Mr. Groen was an associate at the law firm of TroyGould. Mr. Groen earned a B.A. in Political Science from the University of California, Santa Barbara and a J.D. from Harvard Law School.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Tony Yu, Ph.D. </w:t>
      </w:r>
      <w:r>
        <w:rPr>
          <w:rFonts w:ascii="Times New Roman" w:cs="Times New Roman" w:eastAsia="Times New Roman" w:hAnsi="Times New Roman"/>
          <w:sz w:val="17"/>
          <w:szCs w:val="17"/>
          <w:color w:val="auto"/>
        </w:rPr>
        <w:t>has served as our Senior Vice President of Clinical Development since July 2023. He previously served as our Vice President of Clinical Trial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since January 2010. From 2008 to 2010, he served as our Associate Vice President of Preclinical Research and Business Development. From 2002 to 2008, Dr. Yu was Director of the Imaging Group and Director of Tumor Diagnosis/Therapy. Dr. Yu received a B.A. in biology from the University of Utah and a Ph.D. in anatomy and biochemistry from Loma Linda University.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ind w:left="232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capital stock as of March 16, 2026 by:</w:t>
      </w:r>
    </w:p>
    <w:p>
      <w:pPr>
        <w:spacing w:after="0" w:line="208" w:lineRule="exact"/>
        <w:rPr>
          <w:sz w:val="20"/>
          <w:szCs w:val="20"/>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our common stock;</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(as identified below under the heading “Executive Compensation”);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current executive officers and directors as a group.</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and regulations of the SEC, and the information is not necessarily indicative of beneficial ownership for any other purpose. In computing the number of shares beneficially owned by a stockholder and the percentage ownership of such stockholder, we deemed to be outstanding all shares subject to options or other rights held by the stockholder that are currently exercisable or exercisable within 60 days of March 16, 2026. These shares are deemed to be outstanding and beneficially owned by the stockholder holding such options or other rights for the purpose of computing the percentage ownership of that person, but they are not treated as outstanding for the purpose of computing the percentage ownership of any other stockholder. The table is based upon information supplied by our executive officers and directors and a review of Schedules 13D and 13G filed with the SEC. Except as indicated by the footnotes below and subject to community property laws where applicable, we believe, based on information furnished to us, that the persons and entities named in the table below have sole voting and sole investment power with respect to all shares that they beneficially own.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percentage ownership is based on 44,805,811 shares of common stock outstanding as of March 16, 2026.</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otherwise indicated, the address for each beneficial owner listed in the table below is c/o Genelux Corporation, 2625 Townsgate Road, Suite 230, Westlake Village, California 91361.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Percentage of Shares</w:t>
            </w:r>
          </w:p>
        </w:tc>
      </w:tr>
      <w:tr>
        <w:trPr>
          <w:trHeight w:val="22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2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20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Beneficially Owned</w:t>
            </w:r>
          </w:p>
        </w:tc>
      </w:tr>
      <w:tr>
        <w:trPr>
          <w:trHeight w:val="195"/>
        </w:trPr>
        <w:tc>
          <w:tcPr>
            <w:tcW w:w="6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Greater than 5% Holders</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Armistice Capital, LLC</w:t>
            </w:r>
            <w:r>
              <w:rPr>
                <w:rFonts w:ascii="Times New Roman" w:cs="Times New Roman" w:eastAsia="Times New Roman" w:hAnsi="Times New Roman"/>
                <w:sz w:val="27"/>
                <w:szCs w:val="27"/>
                <w:color w:val="auto"/>
                <w:vertAlign w:val="superscript"/>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4,223,277</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Aladar Szalay, Ph.D.</w:t>
            </w:r>
            <w:r>
              <w:rPr>
                <w:rFonts w:ascii="Times New Roman" w:cs="Times New Roman" w:eastAsia="Times New Roman" w:hAnsi="Times New Roman"/>
                <w:sz w:val="27"/>
                <w:szCs w:val="27"/>
                <w:color w:val="auto"/>
                <w:vertAlign w:val="superscript"/>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3,134,286</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Highbridge Capital Management, LLC</w:t>
            </w:r>
            <w:r>
              <w:rPr>
                <w:rFonts w:ascii="Times New Roman" w:cs="Times New Roman" w:eastAsia="Times New Roman" w:hAnsi="Times New Roman"/>
                <w:sz w:val="27"/>
                <w:szCs w:val="27"/>
                <w:color w:val="auto"/>
                <w:vertAlign w:val="superscript"/>
              </w:rPr>
              <w:t>(3)</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2"/>
        </w:trPr>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Mary Mirabelli</w:t>
            </w:r>
            <w:r>
              <w:rPr>
                <w:rFonts w:ascii="Times New Roman" w:cs="Times New Roman" w:eastAsia="Times New Roman" w:hAnsi="Times New Roman"/>
                <w:sz w:val="27"/>
                <w:szCs w:val="27"/>
                <w:color w:val="auto"/>
                <w:vertAlign w:val="superscript"/>
              </w:rPr>
              <w:t>(4)</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139,867</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John Smither</w:t>
            </w:r>
            <w:r>
              <w:rPr>
                <w:rFonts w:ascii="Times New Roman" w:cs="Times New Roman" w:eastAsia="Times New Roman" w:hAnsi="Times New Roman"/>
                <w:sz w:val="27"/>
                <w:szCs w:val="27"/>
                <w:color w:val="auto"/>
                <w:vertAlign w:val="superscript"/>
              </w:rPr>
              <w:t>(5)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117,877</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John Thomas, Ph.D.</w:t>
            </w:r>
            <w:r>
              <w:rPr>
                <w:rFonts w:ascii="Times New Roman" w:cs="Times New Roman" w:eastAsia="Times New Roman" w:hAnsi="Times New Roman"/>
                <w:sz w:val="27"/>
                <w:szCs w:val="27"/>
                <w:color w:val="auto"/>
                <w:vertAlign w:val="superscript"/>
              </w:rPr>
              <w:t>(6)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583,607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James L. Tyree</w:t>
            </w:r>
            <w:r>
              <w:rPr>
                <w:rFonts w:ascii="Times New Roman" w:cs="Times New Roman" w:eastAsia="Times New Roman" w:hAnsi="Times New Roman"/>
                <w:sz w:val="27"/>
                <w:szCs w:val="27"/>
                <w:color w:val="auto"/>
                <w:vertAlign w:val="superscript"/>
              </w:rPr>
              <w:t>(7)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198,474</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Thomas D. Zindrick, J.D.</w:t>
            </w:r>
            <w:r>
              <w:rPr>
                <w:rFonts w:ascii="Times New Roman" w:cs="Times New Roman" w:eastAsia="Times New Roman" w:hAnsi="Times New Roman"/>
                <w:sz w:val="27"/>
                <w:szCs w:val="27"/>
                <w:color w:val="auto"/>
                <w:vertAlign w:val="superscript"/>
              </w:rPr>
              <w:t>(8)</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1,854,244</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Joseph Cappello, Ph.D.</w:t>
            </w:r>
            <w:r>
              <w:rPr>
                <w:rFonts w:ascii="Times New Roman" w:cs="Times New Roman" w:eastAsia="Times New Roman" w:hAnsi="Times New Roman"/>
                <w:sz w:val="27"/>
                <w:szCs w:val="27"/>
                <w:color w:val="auto"/>
                <w:vertAlign w:val="superscript"/>
              </w:rPr>
              <w:t>(9)</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202,642</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Matthew Pulisic</w:t>
            </w:r>
            <w:r>
              <w:rPr>
                <w:rFonts w:ascii="Times New Roman" w:cs="Times New Roman" w:eastAsia="Times New Roman" w:hAnsi="Times New Roman"/>
                <w:sz w:val="27"/>
                <w:szCs w:val="27"/>
                <w:color w:val="auto"/>
                <w:vertAlign w:val="superscript"/>
              </w:rPr>
              <w:t>(10)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85,938</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All directors and executive officers as a group (11 persons)</w:t>
            </w:r>
            <w:r>
              <w:rPr>
                <w:rFonts w:ascii="Times New Roman" w:cs="Times New Roman" w:eastAsia="Times New Roman" w:hAnsi="Times New Roman"/>
                <w:sz w:val="27"/>
                <w:szCs w:val="27"/>
                <w:color w:val="auto"/>
                <w:vertAlign w:val="superscript"/>
              </w:rPr>
              <w:t>(11)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3,562,630</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beneficial ownership of less than 1%.</w:t>
      </w:r>
    </w:p>
    <w:p>
      <w:pPr>
        <w:spacing w:after="0" w:line="208" w:lineRule="exact"/>
        <w:rPr>
          <w:sz w:val="20"/>
          <w:szCs w:val="20"/>
          <w:color w:val="auto"/>
        </w:rPr>
      </w:pPr>
    </w:p>
    <w:p>
      <w:pPr>
        <w:jc w:val="both"/>
        <w:ind w:left="600" w:right="40" w:hanging="599"/>
        <w:spacing w:after="0" w:line="252"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held by Armistice Capital, LLC (“Armistice”) and Steven Boyd as disclosed pursuant to a Schedule 13G filed with the SEC by Armistice on November 14, 2025. Armistice is the investment manager of Armistice Capital Master Fund Ltd. (the “Master Fund”), the direct holder of the shares, and pursuant to an Investment Management Agreement, Armistice exercises voting and investment power over the securities held by the Master Fund and thus may be deemed to beneficially own the securities held by the Master Fund. Mr. Boyd, as the managing member of Armistice, may be deemed to beneficially own the securities held by the Master Fund. The Master Fund specifically disclaims beneficial ownership of the securities directly held by it by virtue of its inability to vote or dispose of such securities as a result of its Investment Management Agreement with Armistice. The address of Armistice and Mr. Boyd is 510 Madison Avenue, 7th Floor, New York, New York 10022.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jc w:val="both"/>
        <w:ind w:left="599" w:hanging="599"/>
        <w:spacing w:after="0" w:line="230"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599,821 shares of common stock held by The Szalay 2010 Retained Annuity Trust, (ii) 550,000 shares of common stock held by The Szalay 2010 Children’s Trust, for which Dr. Szalay has sole voting and dispositive power, (iii) 5,000 shares of common stock held by Dr. Szalay’s spouse, and (iv) 1,979,465 shares of common stock held by the Szalay Trust Dated August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2021, for which Dr. Szalay has shared voting and dispositive power, as disclosed pursuant to an amendment to Schedule 13G, filed with the SEC by Dr. Szalay on February 17, 2026. The address for Dr. Szalay is 7704 North Fork Rd., Highland, CA 92346.</w:t>
      </w:r>
    </w:p>
    <w:p>
      <w:pPr>
        <w:spacing w:after="0" w:line="4" w:lineRule="exact"/>
        <w:rPr>
          <w:rFonts w:ascii="Times New Roman" w:cs="Times New Roman" w:eastAsia="Times New Roman" w:hAnsi="Times New Roman"/>
          <w:sz w:val="17"/>
          <w:szCs w:val="17"/>
          <w:color w:val="auto"/>
        </w:rPr>
      </w:pPr>
    </w:p>
    <w:p>
      <w:pPr>
        <w:jc w:val="both"/>
        <w:ind w:left="599" w:hanging="599"/>
        <w:spacing w:after="0" w:line="227"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2,500,000 shares of common stock issuable upon the exercise of warrants held by certain funds and accounts (the “Highbridge Funds”), as disclosed pursuant to a Schedule 13G filed with the SEC by Highbridge Capital Management, LLC (“Highbridge”) on October 25, 2024. Highbridge is an investment adviser to the Highbridge Funds and has shared voting and dispositive power over the shares of common stock issuable upon the exercise of the warrants and thus may be deemed to beneficially own the shares held by the Highbridge Funds. The business address of Highbridge is 277 Park Avenue,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 New York, New York 10172.</w:t>
      </w:r>
    </w:p>
    <w:p>
      <w:pPr>
        <w:spacing w:after="0" w:line="2" w:lineRule="exact"/>
        <w:rPr>
          <w:rFonts w:ascii="Times New Roman" w:cs="Times New Roman" w:eastAsia="Times New Roman" w:hAnsi="Times New Roman"/>
          <w:sz w:val="17"/>
          <w:szCs w:val="17"/>
          <w:color w:val="auto"/>
        </w:rPr>
      </w:pPr>
    </w:p>
    <w:p>
      <w:pPr>
        <w:ind w:left="599" w:hanging="599"/>
        <w:spacing w:after="0" w:line="263" w:lineRule="auto"/>
        <w:tabs>
          <w:tab w:leader="none" w:pos="59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52,001 shares of common stock; (ii) 79,866 shares of common stock issuable to Ms. Mirabelli pursuant to options exercisable within 60 days of March 16, 2026; and (iii) 8,000 shares of common stock issuable to Ms. Mirabelli pursuant to warrants exercisable within 60 days of March 16, 2026.</w:t>
      </w:r>
    </w:p>
    <w:p>
      <w:pPr>
        <w:ind w:left="599" w:hanging="599"/>
        <w:spacing w:after="0" w:line="247"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52,711 shares of common stock; (ii) 58,916 shares of common stock issuable to Mr. Smither pursuant to options exercisable within 60 days of March 16, 2026; and (iii) 6,250 shares of common stock issuable to Mr. Smither pursuant to warrants exercisable within 60 days of March 16, 2026.</w:t>
      </w:r>
    </w:p>
    <w:p>
      <w:pPr>
        <w:spacing w:after="0" w:line="1" w:lineRule="exact"/>
        <w:rPr>
          <w:rFonts w:ascii="Times New Roman" w:cs="Times New Roman" w:eastAsia="Times New Roman" w:hAnsi="Times New Roman"/>
          <w:sz w:val="17"/>
          <w:szCs w:val="17"/>
          <w:color w:val="auto"/>
        </w:rPr>
      </w:pPr>
    </w:p>
    <w:p>
      <w:pPr>
        <w:ind w:left="599" w:hanging="599"/>
        <w:spacing w:after="0" w:line="263" w:lineRule="auto"/>
        <w:tabs>
          <w:tab w:leader="none" w:pos="59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460,501 shares of common stock; (ii) 120,606 shares of common stock issuable to Dr. Thomas pursuant to options exercisable within 60 days of March 16, 2026; and (iii) 2,500 shares of common stock issuable to Dr. Thomas pursuant to warrants exercisable within 60 days of March 16, 2026.</w:t>
      </w:r>
    </w:p>
    <w:p>
      <w:pPr>
        <w:ind w:left="599" w:right="20" w:hanging="599"/>
        <w:spacing w:after="0" w:line="247"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45,791 shares of common stock; (ii) 146,433 shares of common stock issuable to Mr. Tyree pursuant to options exercisable within 60 days of March 16, 2026; and (iii) 6,250 shares of common stock issuable to Mr. Tyree pursuant to warrants exercisable within 60 days of March 16, 2026.</w:t>
      </w:r>
    </w:p>
    <w:p>
      <w:pPr>
        <w:spacing w:after="0" w:line="1" w:lineRule="exact"/>
        <w:rPr>
          <w:rFonts w:ascii="Times New Roman" w:cs="Times New Roman" w:eastAsia="Times New Roman" w:hAnsi="Times New Roman"/>
          <w:sz w:val="17"/>
          <w:szCs w:val="17"/>
          <w:color w:val="auto"/>
        </w:rPr>
      </w:pPr>
    </w:p>
    <w:p>
      <w:pPr>
        <w:jc w:val="both"/>
        <w:ind w:left="599" w:hanging="599"/>
        <w:spacing w:after="0" w:line="247"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293,169 shares of common stock; (ii) 8,406 shares of our common stock issuable to Mr. Zindrick subject to the vesting of restricted stock units within 60 days of March 16, 2026; (iii) 1,352,669 shares of common stock issuable to Mr. Zindrick pursuant to options exercisable within 60 days of March 16, 2026; and (iv) 200,000 shares of common stock issuable to Mr. Zindrick pursuant to warrants exercisable within 60 days of March 16, 2026.</w:t>
      </w:r>
    </w:p>
    <w:p>
      <w:pPr>
        <w:spacing w:after="0" w:line="1" w:lineRule="exact"/>
        <w:rPr>
          <w:rFonts w:ascii="Times New Roman" w:cs="Times New Roman" w:eastAsia="Times New Roman" w:hAnsi="Times New Roman"/>
          <w:sz w:val="17"/>
          <w:szCs w:val="17"/>
          <w:color w:val="auto"/>
        </w:rPr>
      </w:pPr>
    </w:p>
    <w:p>
      <w:pPr>
        <w:jc w:val="both"/>
        <w:ind w:left="599" w:hanging="599"/>
        <w:spacing w:after="0" w:line="247"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30,435 shares of common stock, (ii) 1,813 shares of our common stock issuable to Dr. Cappello subject to the vesting of restricted stock units within 60 days of March 16, 2026; and (iii) 170,395 shares of common stock issuable to Dr. Cappello pursuant to options exercisable within 60 days of March 16, 2026.</w:t>
      </w:r>
    </w:p>
    <w:p>
      <w:pPr>
        <w:spacing w:after="0" w:line="1"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85,938 shares of our common stock issuable to Mr. Pulisic pursuant to options exercisable within 60 days of March 16, 2026.</w:t>
      </w:r>
    </w:p>
    <w:p>
      <w:pPr>
        <w:spacing w:after="0" w:line="6" w:lineRule="exact"/>
        <w:rPr>
          <w:rFonts w:ascii="Times New Roman" w:cs="Times New Roman" w:eastAsia="Times New Roman" w:hAnsi="Times New Roman"/>
          <w:sz w:val="17"/>
          <w:szCs w:val="17"/>
          <w:color w:val="auto"/>
        </w:rPr>
      </w:pPr>
    </w:p>
    <w:p>
      <w:pPr>
        <w:jc w:val="both"/>
        <w:ind w:left="599" w:hanging="599"/>
        <w:spacing w:after="0" w:line="248" w:lineRule="auto"/>
        <w:tabs>
          <w:tab w:leader="none" w:pos="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the shares of common stock described in notes (4) through (10) above; (ii) (a) 31,612 shares of common stock held by Dr. Yu, (b) 1,813 shares of our common stock issuable to Dr. Yu subject to the vesting of restricted stock units within 60 days of March 16, 2026; (c) 268,048 shares of common stock issuable to Dr. Yu pursuant to options exercisable within 60 days of March 16, 2026, and (d) 2,500 shares of common stock issuable to Dr. Yu pursuant to warrants exercisable within 60 days of March 16, 2026; and (iii) (a) 20,225 shares of common stock held by Mr. Smalling, (b) (ii) 970 shares of our common stock issuable to Mr. Smalling subject to the vesting of restricted stock units within 60 days of March 16, 2026; (c) 53,564 shares of common stock issuable to Mr. Smalling pursuant to options exercisable within 60 days of March 16, 2026, and (d) 1,250 shares of common stock issuable to Mr. Smalling pursuant to warrants exercisable within 60 days of March 16, 2026.</w:t>
      </w:r>
    </w:p>
    <w:p>
      <w:pPr>
        <w:spacing w:after="0" w:line="184"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99"/>
          </w:cols>
          <w:pgMar w:left="321" w:top="653" w:right="3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EXECUTIVE AND DIRECTOR COMPENSATION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named executive officers for the year ended December 31, 2025, consisting of our principal executive officer and the next two most highly compensated executive officers who were serving in such capacity as of December 31, 2025, were:</w:t>
      </w:r>
    </w:p>
    <w:p>
      <w:pPr>
        <w:spacing w:after="0" w:line="159" w:lineRule="exact"/>
        <w:rPr>
          <w:sz w:val="20"/>
          <w:szCs w:val="20"/>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Thomas D. Zindrick, J.D., our President and Chief Executive Officer;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Matthew Pulisic, our Chief Financial Officer;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Joseph Cappello, Ph.D., our Chief Technical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presents all of the compensation awarded to or earned by or paid to our named executive officers during the fiscal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160" w:type="dxa"/>
            <w:vAlign w:val="bottom"/>
            <w:gridSpan w:val="2"/>
          </w:tcPr>
          <w:p>
            <w:pPr>
              <w:jc w:val="center"/>
              <w:ind w:right="31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Fiscal</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040" w:type="dxa"/>
            <w:vAlign w:val="bottom"/>
            <w:gridSpan w:val="2"/>
          </w:tcPr>
          <w:p>
            <w:pPr>
              <w:jc w:val="center"/>
              <w:ind w:right="260"/>
              <w:spacing w:after="0" w:line="236" w:lineRule="exact"/>
              <w:rPr>
                <w:sz w:val="20"/>
                <w:szCs w:val="20"/>
                <w:color w:val="auto"/>
              </w:rPr>
            </w:pPr>
            <w:r>
              <w:rPr>
                <w:rFonts w:ascii="Times New Roman" w:cs="Times New Roman" w:eastAsia="Times New Roman" w:hAnsi="Times New Roman"/>
                <w:sz w:val="16"/>
                <w:szCs w:val="16"/>
                <w:b w:val="1"/>
                <w:bCs w:val="1"/>
                <w:color w:val="auto"/>
                <w:w w:val="94"/>
              </w:rPr>
              <w:t>Awards</w:t>
            </w:r>
            <w:r>
              <w:rPr>
                <w:rFonts w:ascii="Times New Roman" w:cs="Times New Roman" w:eastAsia="Times New Roman" w:hAnsi="Times New Roman"/>
                <w:sz w:val="27"/>
                <w:szCs w:val="27"/>
                <w:b w:val="1"/>
                <w:bCs w:val="1"/>
                <w:color w:val="auto"/>
                <w:w w:val="94"/>
                <w:vertAlign w:val="superscript"/>
              </w:rPr>
              <w:t>(1)</w:t>
            </w:r>
          </w:p>
        </w:tc>
        <w:tc>
          <w:tcPr>
            <w:tcW w:w="1160" w:type="dxa"/>
            <w:vAlign w:val="bottom"/>
            <w:gridSpan w:val="2"/>
          </w:tcPr>
          <w:p>
            <w:pPr>
              <w:jc w:val="center"/>
              <w:ind w:right="330"/>
              <w:spacing w:after="0" w:line="236" w:lineRule="exact"/>
              <w:rPr>
                <w:sz w:val="20"/>
                <w:szCs w:val="20"/>
                <w:color w:val="auto"/>
              </w:rPr>
            </w:pPr>
            <w:r>
              <w:rPr>
                <w:rFonts w:ascii="Times New Roman" w:cs="Times New Roman" w:eastAsia="Times New Roman" w:hAnsi="Times New Roman"/>
                <w:sz w:val="16"/>
                <w:szCs w:val="16"/>
                <w:b w:val="1"/>
                <w:bCs w:val="1"/>
                <w:color w:val="auto"/>
                <w:w w:val="96"/>
              </w:rPr>
              <w:t>Awards</w:t>
            </w:r>
            <w:r>
              <w:rPr>
                <w:rFonts w:ascii="Times New Roman" w:cs="Times New Roman" w:eastAsia="Times New Roman" w:hAnsi="Times New Roman"/>
                <w:sz w:val="27"/>
                <w:szCs w:val="27"/>
                <w:b w:val="1"/>
                <w:bCs w:val="1"/>
                <w:color w:val="auto"/>
                <w:w w:val="96"/>
                <w:vertAlign w:val="superscript"/>
              </w:rPr>
              <w:t>(1)</w:t>
            </w:r>
          </w:p>
        </w:tc>
        <w:tc>
          <w:tcPr>
            <w:tcW w:w="1480" w:type="dxa"/>
            <w:vAlign w:val="bottom"/>
            <w:gridSpan w:val="2"/>
          </w:tcPr>
          <w:p>
            <w:pPr>
              <w:jc w:val="center"/>
              <w:ind w:right="280"/>
              <w:spacing w:after="0" w:line="236" w:lineRule="exact"/>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7"/>
                <w:szCs w:val="27"/>
                <w:b w:val="1"/>
                <w:bCs w:val="1"/>
                <w:color w:val="auto"/>
                <w:vertAlign w:val="superscript"/>
              </w:rPr>
              <w:t>(2)</w:t>
            </w:r>
          </w:p>
        </w:tc>
        <w:tc>
          <w:tcPr>
            <w:tcW w:w="1460" w:type="dxa"/>
            <w:vAlign w:val="bottom"/>
            <w:gridSpan w:val="2"/>
          </w:tcPr>
          <w:p>
            <w:pPr>
              <w:jc w:val="center"/>
              <w:ind w:right="260"/>
              <w:spacing w:after="0" w:line="236" w:lineRule="exact"/>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7"/>
                <w:szCs w:val="27"/>
                <w:b w:val="1"/>
                <w:bCs w:val="1"/>
                <w:color w:val="auto"/>
                <w:vertAlign w:val="superscript"/>
              </w:rPr>
              <w:t>(3)</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19"/>
                <w:szCs w:val="19"/>
                <w:color w:val="auto"/>
              </w:rPr>
            </w:pPr>
          </w:p>
        </w:tc>
      </w:tr>
      <w:tr>
        <w:trPr>
          <w:trHeight w:val="21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Zindrick, J.D.</w:t>
            </w:r>
          </w:p>
        </w:tc>
        <w:tc>
          <w:tcPr>
            <w:tcW w:w="8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2025</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612,998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1,420,044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2,072,880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97"/>
              </w:rPr>
              <w:t>(4)</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168,113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4,277,083</w:t>
            </w:r>
          </w:p>
        </w:tc>
        <w:tc>
          <w:tcPr>
            <w:tcW w:w="80" w:type="dxa"/>
            <w:vAlign w:val="bottom"/>
            <w:shd w:val="clear" w:color="auto" w:fill="CCEEFF"/>
          </w:tcPr>
          <w:p>
            <w:pPr>
              <w:spacing w:after="0"/>
              <w:rPr>
                <w:sz w:val="19"/>
                <w:szCs w:val="19"/>
                <w:color w:val="auto"/>
              </w:rPr>
            </w:pPr>
          </w:p>
        </w:tc>
      </w:tr>
      <w:tr>
        <w:trPr>
          <w:trHeight w:val="20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c>
          <w:tcPr>
            <w:tcW w:w="8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595,000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536,942</w:t>
            </w:r>
          </w:p>
        </w:tc>
        <w:tc>
          <w:tcPr>
            <w:tcW w:w="11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7"/>
                <w:szCs w:val="17"/>
                <w:color w:val="auto"/>
              </w:rPr>
              <w:t>338,257</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105,129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1,578.376</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Pulisic</w:t>
            </w:r>
          </w:p>
        </w:tc>
        <w:tc>
          <w:tcPr>
            <w:tcW w:w="8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2025</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line="240" w:lineRule="exact"/>
              <w:rPr>
                <w:sz w:val="20"/>
                <w:szCs w:val="20"/>
                <w:color w:val="auto"/>
              </w:rPr>
            </w:pPr>
            <w:r>
              <w:rPr>
                <w:rFonts w:ascii="Times New Roman" w:cs="Times New Roman" w:eastAsia="Times New Roman" w:hAnsi="Times New Roman"/>
                <w:sz w:val="16"/>
                <w:szCs w:val="16"/>
                <w:color w:val="auto"/>
              </w:rPr>
              <w:t>406,735</w:t>
            </w:r>
            <w:r>
              <w:rPr>
                <w:rFonts w:ascii="Times New Roman" w:cs="Times New Roman" w:eastAsia="Times New Roman" w:hAnsi="Times New Roman"/>
                <w:sz w:val="27"/>
                <w:szCs w:val="27"/>
                <w:color w:val="auto"/>
                <w:vertAlign w:val="superscript"/>
              </w:rPr>
              <w:t>(5)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7"/>
                <w:szCs w:val="17"/>
                <w:color w:val="auto"/>
              </w:rPr>
              <w:t>997,453</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82,603</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220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1,487,011</w:t>
            </w:r>
          </w:p>
        </w:tc>
      </w:tr>
      <w:tr>
        <w:trPr>
          <w:trHeight w:val="20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8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Cappello, Ph.D.</w:t>
            </w:r>
          </w:p>
        </w:tc>
        <w:tc>
          <w:tcPr>
            <w:tcW w:w="8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2025</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390,000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437,625</w:t>
            </w:r>
          </w:p>
        </w:tc>
        <w:tc>
          <w:tcPr>
            <w:tcW w:w="1160" w:type="dxa"/>
            <w:vAlign w:val="bottom"/>
            <w:gridSpan w:val="2"/>
            <w:shd w:val="clear" w:color="auto" w:fill="CCEEFF"/>
          </w:tcPr>
          <w:p>
            <w:pPr>
              <w:jc w:val="right"/>
              <w:ind w:right="150"/>
              <w:spacing w:after="0" w:line="240" w:lineRule="exact"/>
              <w:rPr>
                <w:sz w:val="20"/>
                <w:szCs w:val="20"/>
                <w:color w:val="auto"/>
              </w:rPr>
            </w:pPr>
            <w:r>
              <w:rPr>
                <w:rFonts w:ascii="Times New Roman" w:cs="Times New Roman" w:eastAsia="Times New Roman" w:hAnsi="Times New Roman"/>
                <w:sz w:val="16"/>
                <w:szCs w:val="16"/>
                <w:color w:val="auto"/>
              </w:rPr>
              <w:t>533,633</w:t>
            </w:r>
            <w:r>
              <w:rPr>
                <w:rFonts w:ascii="Times New Roman" w:cs="Times New Roman" w:eastAsia="Times New Roman" w:hAnsi="Times New Roman"/>
                <w:sz w:val="27"/>
                <w:szCs w:val="27"/>
                <w:color w:val="auto"/>
                <w:vertAlign w:val="superscript"/>
              </w:rPr>
              <w:t>(4)</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77,786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1,442,092</w:t>
            </w:r>
          </w:p>
        </w:tc>
        <w:tc>
          <w:tcPr>
            <w:tcW w:w="80" w:type="dxa"/>
            <w:vAlign w:val="bottom"/>
            <w:shd w:val="clear" w:color="auto" w:fill="CCEEFF"/>
          </w:tcPr>
          <w:p>
            <w:pPr>
              <w:spacing w:after="0"/>
              <w:rPr>
                <w:sz w:val="20"/>
                <w:szCs w:val="20"/>
                <w:color w:val="auto"/>
              </w:rPr>
            </w:pPr>
          </w:p>
        </w:tc>
      </w:tr>
      <w:tr>
        <w:trPr>
          <w:trHeight w:val="20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Technical Officer</w:t>
            </w:r>
          </w:p>
        </w:tc>
        <w:tc>
          <w:tcPr>
            <w:tcW w:w="8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360,000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166,678</w:t>
            </w:r>
          </w:p>
        </w:tc>
        <w:tc>
          <w:tcPr>
            <w:tcW w:w="11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7"/>
                <w:szCs w:val="17"/>
                <w:color w:val="auto"/>
              </w:rPr>
              <w:t>72,088</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46,260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648,074</w:t>
            </w:r>
          </w:p>
        </w:tc>
      </w:tr>
    </w:tbl>
    <w:p>
      <w:pPr>
        <w:spacing w:after="0" w:line="185" w:lineRule="exact"/>
        <w:rPr>
          <w:sz w:val="20"/>
          <w:szCs w:val="20"/>
          <w:color w:val="auto"/>
        </w:rPr>
      </w:pPr>
    </w:p>
    <w:p>
      <w:pPr>
        <w:jc w:val="both"/>
        <w:ind w:left="300" w:hanging="299"/>
        <w:spacing w:after="0" w:line="250"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disclosed represent the aggregate grant date fair value of stock options and restricted stock unit awards (“RSUs”) granted to our named executive officers under our equity incentive plans, computed in accordance with Financial Accounting Standards Board Accounting Standards Codification Topic 718 Compensation—Stock Compensation (“ASC Topic 718”). As required by SEC rules, the amounts shown exclude the impact of estimated forfeitures related to service-based vesting conditions. The assumptions used in calculating the grant date fair value of the stock options are set forth in Note 8 to our annual financial statements included in our Annual Report. This amount does not reflect the actual economic value that may be realized by the named executive officer upon vesting or exercise of the stock options and RSUs, or the sale of the common stock underlying such awards.</w:t>
      </w:r>
    </w:p>
    <w:p>
      <w:pPr>
        <w:spacing w:after="0" w:line="4"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reflects the amount of performance-based non-equity incentive compensation earned by our named executive officers for the periods presented.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Company’s contributions to employee life insurance.</w:t>
      </w:r>
    </w:p>
    <w:p>
      <w:pPr>
        <w:spacing w:after="0" w:line="6"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for Mr. Zindrick and Dr. Cappello represent (a) fair value of options granted in 2025 in the amount of 478,800 shares ($1,458,616) for Mr. Zindrick and 142,500 shares ($434,112) for Dr. Cappello; plus (b) the incremental fair value of stock options repriced during the fiscal year ended December 31, 2025, measured pursuant to ASC Topic 718, the basis for computing the stock-based compensation in our financial statements, which was $614,264 for Mr. Zindrick and $99,521 for Dr. Cappello.</w:t>
      </w:r>
    </w:p>
    <w:p>
      <w:pPr>
        <w:spacing w:after="0" w:line="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Pulisic joined the Company in January 2025 and as such, his 2025 salary reflects the pro rata amount earned in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Annual Base Salary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The 2025 annual base salaries for our named executive officers are set forth in the table below.</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9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2025 Base Salary</w:t>
            </w:r>
          </w:p>
        </w:tc>
      </w:tr>
      <w:tr>
        <w:trPr>
          <w:trHeight w:val="195"/>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Zindrick, J.D.</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Matthew Pulisic</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450,000</w:t>
            </w: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Cappello, Ph.D.</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390,000</w:t>
            </w: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March 2026, our Board of Directors approved a merit increase of the annual base salary of Mr. Zindrick, Mr. Pulisic and Dr. Cappello to $655,000, $487,000 and $440,000, respectively, effective as of March 19,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Performance-Based Bonus Opportunity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seek to motivate and reward our executives for achievements relative to our corporate goals and expectations for each fiscal year. In 2025, each of our named executive officers was eligible to receive an annual performance bonus based on the achievement of performance goals as determined by our Board or an authorized committee thereof. Each named executive officer has a target bonus represented as a percentage of base salary (a “target bonus percentage”) each of which is set forth below. In 2025, our named executive officers were entitled to the following target bonus percentages: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22"/>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2025 Target Bonus</w:t>
            </w:r>
          </w:p>
        </w:tc>
      </w:tr>
      <w:tr>
        <w:trPr>
          <w:trHeight w:val="195"/>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Zindrick, J.D.</w:t>
            </w:r>
          </w:p>
        </w:tc>
        <w:tc>
          <w:tcPr>
            <w:tcW w:w="180" w:type="dxa"/>
            <w:vAlign w:val="bottom"/>
            <w:tcBorders>
              <w:top w:val="single" w:sz="8" w:color="CCEEFF"/>
            </w:tcBorders>
            <w:shd w:val="clear" w:color="auto" w:fill="CCEEFF"/>
          </w:tcPr>
          <w:p>
            <w:pPr>
              <w:spacing w:after="0"/>
              <w:rPr>
                <w:sz w:val="16"/>
                <w:szCs w:val="16"/>
                <w:color w:val="auto"/>
              </w:rPr>
            </w:pPr>
          </w:p>
        </w:tc>
        <w:tc>
          <w:tcPr>
            <w:tcW w:w="3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55%</w:t>
            </w:r>
          </w:p>
        </w:tc>
      </w:tr>
      <w:tr>
        <w:trPr>
          <w:trHeight w:val="202"/>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Pulisic</w:t>
            </w:r>
          </w:p>
        </w:tc>
        <w:tc>
          <w:tcPr>
            <w:tcW w:w="3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40%</w:t>
            </w:r>
          </w:p>
        </w:tc>
      </w:tr>
      <w:tr>
        <w:trPr>
          <w:trHeight w:val="202"/>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Cappello, Ph.D.</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40%</w:t>
            </w: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annual corporate performance goals are set at the beginning of the performance year and are expected to be paid out in the first quarter of the following year. Annual corporate performance goals are generally tied to achievement of milestones related to clinical and regulatory activities regarding our clinical development programs, operational or manufacturing activities, financial matters and organizational initiatives. The Compensation Committee and our Board reviews the Company’s achievement of the corporate goals in their totality, taking into account the Company’s overall performance for the year.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each of Messrs Zindrick and Pulisic and Dr. Cappello, 2025 annual performance bonuses were based on achievement of our corporate goals. Corporate goals established and achieved for 2025 performance bonuses included milestones related to manufacturing, regulatory and commercial planning activities to support potential future filing of a biologics license application and commercial launch, financial-related measures, and initiatives related to talent and organizational development. Our Compensation Committee and our Board (in the case of Mr. Zindrick) determined that corporate goals were achieved at 50%. The cash amounts awarded as 2025 annual performance bonuses were $168,113 to Mr. Zindrick, $82,803 to Mr. Pulisic and $77,788 to Dr. Cappello.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Equity-Based Incentive Awards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equity-based incentive awards are designed to align our interests and those of our stockholders with those of our employees and consultants, including our executive officers. The Board or an authorized committee thereof is responsible for approving equity grants.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generally used stock options and restricted stock units as incentives for long-term compensation to our executive officers because stock options allow our executive officers to realize value only if our stock price increases and restricted stock units provide a strong retentive value. We may grant other equity awards at such times as the Board determines appropriate. Our executives generally are awarded an initial grant in the form of a stock option in connection with their commencement of employment with us. Additional grants of stock options and restricted stock units may occur periodically in order to specifically incentivize executives with respect to achieving certain corporate goals or to reward executives for exceptional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7" w:name="page28"/>
    <w:bookmarkEnd w:id="27"/>
    <w:p>
      <w:pPr>
        <w:jc w:val="both"/>
        <w:spacing w:after="0" w:line="251" w:lineRule="auto"/>
        <w:rPr>
          <w:sz w:val="20"/>
          <w:szCs w:val="20"/>
          <w:color w:val="auto"/>
        </w:rPr>
      </w:pPr>
      <w:r>
        <w:rPr>
          <w:rFonts w:ascii="Times New Roman" w:cs="Times New Roman" w:eastAsia="Times New Roman" w:hAnsi="Times New Roman"/>
          <w:sz w:val="17"/>
          <w:szCs w:val="17"/>
          <w:color w:val="auto"/>
        </w:rPr>
        <w:t>Prior to our initial public offering, we granted stock options to each of our named executive officers pursuant to our 2009 Equity Incentive Plan (the “2009 Plan”) and our 2019 Equity Incentive Plan (the “2019 Plan”). The 2009 Plan was replaced by our 2019 Plan in January 2019. Upon the effective date of the 2019 Plan, no further grants were made under our 2009 Plan. Any outstanding awards granted under our 2009 Plan remain subject to the terms of our 2009 Plan and applicable award agreements. Upon the completion of our initial public offering, we adopted our 2022 Equity Incentive Plan (the “2022 Plan”), which replaced our 2019 Plan. Upon the adoption of the 2022 Plan, no further grants were made under our 2019 Plan. Any outstanding awards granted under our 2019 Plan remain subject to the terms of our 2019 Plan and applicable award agreements. In September 2023, the Company also adopted the 2023 Inducement Plan (as amended, the “2023 Inducement Plan”), pursuant to which the Company may exclusively grant awards to individuals that were not previously Company employees or directors, as an inducement material to the individual’s entry into employment with the Company within the meaning of Rule 5635(c)(4) of the Nasdaq Listing Rules.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January 2025, we granted stock options to Mr. Pulisic pursuant to an offer letter by which he joined the Company as Chief Financial Officer and, in August 2025, we granted stock options and restricted stock units to Mr. Zindrick and Dr. Cappello, as further described below under “-Outstanding Equity Awards as of December 31, 2025.” All stock options are granted with an exercise price per share that is no less than the fair market value of our common stock on the date of grant of such award. Our stock option and restricted stock unit awards are subject to a variety of vesting periods, and may be subject to acceleration of vesting and exercisability under certain termination and change in control events as described below in the sections titled “—Agreements with Named Executive Officers” and “—Potential Payments Upon Termination or Change in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 2025 (“Reduction Date”), the Board approved a reduction in the exercise prices of certain outstanding options to purchase shares of the Company’s common stock that had exercise prices greater than $5.00 per share as of the Reduction Date (the “Eligible Options”), including options held by certain of our named executive officers. The exercise price for Eligible Options was reduced to $3.33 per share, the closing price of the common stock on the Reduction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Agreements with Named Executive Officers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Below are descriptions of our employment agreements with Messrs. Zindrick and Pulisic and Dr. Cappello. The employment of each of our named executive officers is at will. Each of our named executive officers is eligible for certain severance and change in control benefits, as described below in the section titled “—Potential Payments Upon Termination or Change in Control.”</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Mr. Zindrick</w:t>
      </w:r>
      <w:r>
        <w:rPr>
          <w:rFonts w:ascii="Times New Roman" w:cs="Times New Roman" w:eastAsia="Times New Roman" w:hAnsi="Times New Roman"/>
          <w:sz w:val="17"/>
          <w:szCs w:val="17"/>
          <w:color w:val="auto"/>
        </w:rPr>
        <w:t>. We entered into an employment agreement with Mr. Zindrick on May 30, 2023, with retroactive effect to April 1, 2023. Pursuant to the agreement,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Zindrick is entitled to an initial base salary of $595,000 and an annual discretionary bonus of up to 55% of his annual base salary. The agreement also provides that Mr. Zindrick will be eligible to receive an annual discretionary option and/or other equity award grant covering shares of our common stock, as determined by the Board in its discretion based upon the achievement of corporate and/or individual objectives and milestones that are determined in the sole discretion of the Board, pursuant to our 2022 Plan.</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Mr. Pulisic. </w:t>
      </w:r>
      <w:r>
        <w:rPr>
          <w:rFonts w:ascii="Times New Roman" w:cs="Times New Roman" w:eastAsia="Times New Roman" w:hAnsi="Times New Roman"/>
          <w:sz w:val="16"/>
          <w:szCs w:val="16"/>
          <w:color w:val="auto"/>
        </w:rPr>
        <w:t>We entered into an employment agreement with Mr. Pulisic on January 16, 2025. Pursuant the agreement, effective as of January 30, 2025, Mr. Pulisic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entitled to an initial base salary of $410,000 per year and an annual discretionary bonus of up to 40% of his then-current base salary based on the achievement of certain performance goals determined by the Board of Directors of the Company (and prorated for the number of calendar days he is employed in a calendar year). Mr. Pulisic’s employment agreement provided for an option to purchase 275,000 shares of common stock of the Company pursuant to our 2023 Inducement Plan with a per share exercise price equal to the fair market value on the date of grant (the “Pulisic Option”). The shares subject to the Pulisic Option vest over four years of continuous service to the Company, with 25% of the shares subject to the Pulisic Option vesting on the first-year anniversary of the date of grant, and the remaining shares vesting in equal monthly installments over the subsequent 36 months of continuous service thereafter. In the event of our change in control, and subject to Mr. Pulisic’s continuous service through such change in control, 100% of the shares subject to the unvested portion of the Pulisic Option will accelerate and vest in full.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Dr. Cappello. </w:t>
      </w:r>
      <w:r>
        <w:rPr>
          <w:rFonts w:ascii="Times New Roman" w:cs="Times New Roman" w:eastAsia="Times New Roman" w:hAnsi="Times New Roman"/>
          <w:sz w:val="17"/>
          <w:szCs w:val="17"/>
          <w:color w:val="auto"/>
        </w:rPr>
        <w:t>We entered into an employment agreement with Dr. Cappello on May 21, 2023, with retroactive effect to April 1, 2023. Pursuant to the agreement, Dr.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Cappello is entitled to an initial base salary of $360,000 per year and an annual discretionary bonus of up to 40% of his annual base salary. The agreement also provides that Dr. Cappello will be eligible to receive an annual discretionary option and/or other equity award grant covering shares of our common stock, as determined by the Board in its discretion based upon the achievement of corporate and/or individual objectives and milestones that are determined in the sole discretion of the Board, pursuant to our 2022 Plan. Dr. Cappello’s employment may be terminated at-will by either party, with or without notice, subject to the terms of the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outstanding equity incentive plan awards held by each named executive officer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Option Awards</w:t>
            </w:r>
            <w:r>
              <w:rPr>
                <w:rFonts w:ascii="Times New Roman" w:cs="Times New Roman" w:eastAsia="Times New Roman" w:hAnsi="Times New Roman"/>
                <w:sz w:val="28"/>
                <w:szCs w:val="28"/>
                <w:b w:val="1"/>
                <w:bCs w:val="1"/>
                <w:color w:val="auto"/>
                <w:vertAlign w:val="superscript"/>
              </w:rPr>
              <w:t>(1)</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4"/>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Stock Awards</w:t>
            </w:r>
            <w:r>
              <w:rPr>
                <w:rFonts w:ascii="Times New Roman" w:cs="Times New Roman" w:eastAsia="Times New Roman" w:hAnsi="Times New Roman"/>
                <w:sz w:val="28"/>
                <w:szCs w:val="28"/>
                <w:b w:val="1"/>
                <w:bCs w:val="1"/>
                <w:color w:val="auto"/>
                <w:vertAlign w:val="superscript"/>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gridSpan w:val="3"/>
          </w:tcPr>
          <w:p>
            <w:pPr>
              <w:jc w:val="center"/>
              <w:ind w:right="120"/>
              <w:spacing w:after="0" w:line="182"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340"/>
              <w:spacing w:after="0" w:line="182"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8"/>
              </w:rPr>
              <w:t>Market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value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shares 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shares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Unexercised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units of</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units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stock that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stock that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Exercisable</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ind w:left="10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21"/>
                <w:szCs w:val="21"/>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140" w:type="dxa"/>
            <w:vAlign w:val="bottom"/>
            <w:gridSpan w:val="3"/>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Share ($)</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vested (#)</w:t>
            </w:r>
          </w:p>
        </w:tc>
        <w:tc>
          <w:tcPr>
            <w:tcW w:w="980" w:type="dxa"/>
            <w:vAlign w:val="bottom"/>
            <w:gridSpan w:val="2"/>
          </w:tcPr>
          <w:p>
            <w:pPr>
              <w:jc w:val="center"/>
              <w:ind w:right="100"/>
              <w:spacing w:after="0" w:line="251" w:lineRule="exact"/>
              <w:rPr>
                <w:sz w:val="20"/>
                <w:szCs w:val="20"/>
                <w:color w:val="auto"/>
              </w:rPr>
            </w:pPr>
            <w:r>
              <w:rPr>
                <w:rFonts w:ascii="Times New Roman" w:cs="Times New Roman" w:eastAsia="Times New Roman" w:hAnsi="Times New Roman"/>
                <w:sz w:val="17"/>
                <w:szCs w:val="17"/>
                <w:b w:val="1"/>
                <w:bCs w:val="1"/>
                <w:color w:val="auto"/>
                <w:w w:val="92"/>
              </w:rPr>
              <w:t xml:space="preserve">vested </w:t>
            </w:r>
            <w:r>
              <w:rPr>
                <w:rFonts w:ascii="Times New Roman" w:cs="Times New Roman" w:eastAsia="Times New Roman" w:hAnsi="Times New Roman"/>
                <w:sz w:val="17"/>
                <w:szCs w:val="17"/>
                <w:b w:val="1"/>
                <w:bCs w:val="1"/>
                <w:u w:val="single" w:color="auto"/>
                <w:color w:val="auto"/>
                <w:w w:val="92"/>
              </w:rPr>
              <w:t>($</w:t>
            </w: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8"/>
                <w:szCs w:val="28"/>
                <w:b w:val="1"/>
                <w:bCs w:val="1"/>
                <w:color w:val="auto"/>
                <w:w w:val="92"/>
                <w:vertAlign w:val="superscript"/>
              </w:rPr>
              <w:t>(7)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D. Zindrick, J.D.</w:t>
            </w:r>
          </w:p>
        </w:tc>
        <w:tc>
          <w:tcPr>
            <w:tcW w:w="1360" w:type="dxa"/>
            <w:vAlign w:val="bottom"/>
            <w:gridSpan w:val="2"/>
            <w:shd w:val="clear" w:color="auto" w:fill="CCEEFF"/>
          </w:tcPr>
          <w:p>
            <w:pPr>
              <w:jc w:val="center"/>
              <w:ind w:left="162"/>
              <w:spacing w:after="0" w:line="240" w:lineRule="exact"/>
              <w:rPr>
                <w:sz w:val="20"/>
                <w:szCs w:val="20"/>
                <w:color w:val="auto"/>
              </w:rPr>
            </w:pPr>
            <w:r>
              <w:rPr>
                <w:rFonts w:ascii="Times New Roman" w:cs="Times New Roman" w:eastAsia="Times New Roman" w:hAnsi="Times New Roman"/>
                <w:sz w:val="16"/>
                <w:szCs w:val="16"/>
                <w:color w:val="auto"/>
                <w:w w:val="93"/>
              </w:rPr>
              <w:t>9/19/2017</w:t>
            </w:r>
            <w:r>
              <w:rPr>
                <w:rFonts w:ascii="Times New Roman" w:cs="Times New Roman" w:eastAsia="Times New Roman" w:hAnsi="Times New Roman"/>
                <w:sz w:val="27"/>
                <w:szCs w:val="27"/>
                <w:color w:val="auto"/>
                <w:w w:val="93"/>
                <w:vertAlign w:val="superscript"/>
              </w:rPr>
              <w:t>(2)(3)</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200,000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9/18/2027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9/19/2017</w:t>
            </w:r>
            <w:r>
              <w:rPr>
                <w:rFonts w:ascii="Times New Roman" w:cs="Times New Roman" w:eastAsia="Times New Roman" w:hAnsi="Times New Roman"/>
                <w:sz w:val="27"/>
                <w:szCs w:val="27"/>
                <w:color w:val="auto"/>
                <w:w w:val="93"/>
                <w:vertAlign w:val="superscript"/>
              </w:rPr>
              <w:t>(2)(3)</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725,000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9/18/2027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3/23/2020</w:t>
            </w:r>
            <w:r>
              <w:rPr>
                <w:rFonts w:ascii="Times New Roman" w:cs="Times New Roman" w:eastAsia="Times New Roman" w:hAnsi="Times New Roman"/>
                <w:sz w:val="27"/>
                <w:szCs w:val="27"/>
                <w:color w:val="auto"/>
                <w:w w:val="93"/>
                <w:vertAlign w:val="superscript"/>
              </w:rPr>
              <w:t>(2)(3)</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157,372</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3/22/2030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9/24/2020</w:t>
            </w:r>
            <w:r>
              <w:rPr>
                <w:rFonts w:ascii="Times New Roman" w:cs="Times New Roman" w:eastAsia="Times New Roman" w:hAnsi="Times New Roman"/>
                <w:sz w:val="27"/>
                <w:szCs w:val="27"/>
                <w:color w:val="auto"/>
                <w:w w:val="93"/>
                <w:vertAlign w:val="superscript"/>
              </w:rPr>
              <w:t>(2)(3)</w:t>
            </w: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23,568</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9/23/2030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6"/>
                <w:szCs w:val="16"/>
                <w:color w:val="auto"/>
                <w:w w:val="94"/>
              </w:rPr>
              <w:t>9/11/2023</w:t>
            </w:r>
            <w:r>
              <w:rPr>
                <w:rFonts w:ascii="Times New Roman" w:cs="Times New Roman" w:eastAsia="Times New Roman" w:hAnsi="Times New Roman"/>
                <w:sz w:val="26"/>
                <w:szCs w:val="26"/>
                <w:color w:val="auto"/>
                <w:w w:val="94"/>
                <w:vertAlign w:val="superscript"/>
              </w:rPr>
              <w:t>(3)(4)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140,625</w:t>
            </w:r>
          </w:p>
        </w:tc>
        <w:tc>
          <w:tcPr>
            <w:tcW w:w="158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109,375</w:t>
            </w:r>
          </w:p>
        </w:tc>
        <w:tc>
          <w:tcPr>
            <w:tcW w:w="11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9/10/2033</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580" w:type="dxa"/>
            <w:vAlign w:val="bottom"/>
            <w:gridSpan w:val="3"/>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12/18/2024</w:t>
            </w:r>
            <w:r>
              <w:rPr>
                <w:rFonts w:ascii="Times New Roman" w:cs="Times New Roman" w:eastAsia="Times New Roman" w:hAnsi="Times New Roman"/>
                <w:sz w:val="27"/>
                <w:szCs w:val="27"/>
                <w:color w:val="auto"/>
                <w:w w:val="93"/>
                <w:vertAlign w:val="superscript"/>
              </w:rPr>
              <w:t>(4)(6)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61,000</w:t>
            </w: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122,000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2.29</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12/17/2034</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12/18/2024</w:t>
            </w:r>
            <w:r>
              <w:rPr>
                <w:rFonts w:ascii="Times New Roman" w:cs="Times New Roman" w:eastAsia="Times New Roman" w:hAnsi="Times New Roman"/>
                <w:sz w:val="27"/>
                <w:szCs w:val="27"/>
                <w:color w:val="auto"/>
                <w:w w:val="93"/>
                <w:vertAlign w:val="superscript"/>
              </w:rPr>
              <w:t>(5)(6)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92,469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403,165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8/27/2025</w:t>
            </w:r>
            <w:r>
              <w:rPr>
                <w:rFonts w:ascii="Times New Roman" w:cs="Times New Roman" w:eastAsia="Times New Roman" w:hAnsi="Times New Roman"/>
                <w:sz w:val="27"/>
                <w:szCs w:val="27"/>
                <w:color w:val="auto"/>
                <w:w w:val="93"/>
                <w:vertAlign w:val="superscript"/>
              </w:rPr>
              <w:t>(4)(6)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478,800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3.64</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8/26/2035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8/27/2025</w:t>
            </w:r>
            <w:r>
              <w:rPr>
                <w:rFonts w:ascii="Times New Roman" w:cs="Times New Roman" w:eastAsia="Times New Roman" w:hAnsi="Times New Roman"/>
                <w:sz w:val="27"/>
                <w:szCs w:val="27"/>
                <w:color w:val="auto"/>
                <w:w w:val="93"/>
                <w:vertAlign w:val="superscript"/>
              </w:rPr>
              <w:t>(5)(6)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361,200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1,574,832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Pulisic</w:t>
            </w:r>
          </w:p>
        </w:tc>
        <w:tc>
          <w:tcPr>
            <w:tcW w:w="1360" w:type="dxa"/>
            <w:vAlign w:val="bottom"/>
            <w:gridSpan w:val="2"/>
            <w:shd w:val="clear" w:color="auto" w:fill="CCEEFF"/>
          </w:tcPr>
          <w:p>
            <w:pPr>
              <w:jc w:val="center"/>
              <w:ind w:left="162"/>
              <w:spacing w:after="0" w:line="240" w:lineRule="exact"/>
              <w:rPr>
                <w:sz w:val="20"/>
                <w:szCs w:val="20"/>
                <w:color w:val="auto"/>
              </w:rPr>
            </w:pPr>
            <w:r>
              <w:rPr>
                <w:rFonts w:ascii="Times New Roman" w:cs="Times New Roman" w:eastAsia="Times New Roman" w:hAnsi="Times New Roman"/>
                <w:sz w:val="16"/>
                <w:szCs w:val="16"/>
                <w:color w:val="auto"/>
                <w:w w:val="93"/>
              </w:rPr>
              <w:t>1/31/2025</w:t>
            </w:r>
            <w:r>
              <w:rPr>
                <w:rFonts w:ascii="Times New Roman" w:cs="Times New Roman" w:eastAsia="Times New Roman" w:hAnsi="Times New Roman"/>
                <w:sz w:val="27"/>
                <w:szCs w:val="27"/>
                <w:color w:val="auto"/>
                <w:w w:val="93"/>
                <w:vertAlign w:val="superscript"/>
              </w:rPr>
              <w:t>(4)(6)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275,000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3.95</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1/30/2035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Cappello, Ph.D.</w:t>
            </w:r>
          </w:p>
        </w:tc>
        <w:tc>
          <w:tcPr>
            <w:tcW w:w="1360" w:type="dxa"/>
            <w:vAlign w:val="bottom"/>
            <w:gridSpan w:val="2"/>
            <w:shd w:val="clear" w:color="auto" w:fill="CCEEFF"/>
          </w:tcPr>
          <w:p>
            <w:pPr>
              <w:jc w:val="center"/>
              <w:ind w:left="162"/>
              <w:spacing w:after="0" w:line="225" w:lineRule="exact"/>
              <w:rPr>
                <w:sz w:val="20"/>
                <w:szCs w:val="20"/>
                <w:color w:val="auto"/>
              </w:rPr>
            </w:pPr>
            <w:r>
              <w:rPr>
                <w:rFonts w:ascii="Times New Roman" w:cs="Times New Roman" w:eastAsia="Times New Roman" w:hAnsi="Times New Roman"/>
                <w:sz w:val="16"/>
                <w:szCs w:val="16"/>
                <w:color w:val="auto"/>
                <w:w w:val="95"/>
              </w:rPr>
              <w:t>12/31/2016</w:t>
            </w:r>
            <w:r>
              <w:rPr>
                <w:rFonts w:ascii="Times New Roman" w:cs="Times New Roman" w:eastAsia="Times New Roman" w:hAnsi="Times New Roman"/>
                <w:sz w:val="26"/>
                <w:szCs w:val="26"/>
                <w:color w:val="auto"/>
                <w:w w:val="95"/>
                <w:vertAlign w:val="superscript"/>
              </w:rPr>
              <w:t>(2)(3)</w:t>
            </w:r>
          </w:p>
        </w:tc>
        <w:tc>
          <w:tcPr>
            <w:tcW w:w="126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16,666</w:t>
            </w:r>
          </w:p>
        </w:tc>
        <w:tc>
          <w:tcPr>
            <w:tcW w:w="22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12/30/2026</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4"/>
                <w:szCs w:val="14"/>
                <w:color w:val="auto"/>
                <w:w w:val="97"/>
              </w:rPr>
              <w:t>(6)</w:t>
            </w:r>
          </w:p>
        </w:tc>
        <w:tc>
          <w:tcPr>
            <w:tcW w:w="1260" w:type="dxa"/>
            <w:vAlign w:val="bottom"/>
            <w:gridSpan w:val="4"/>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6"/>
                <w:szCs w:val="16"/>
                <w:color w:val="auto"/>
                <w:w w:val="94"/>
              </w:rPr>
              <w:t>9/13/2017</w:t>
            </w:r>
            <w:r>
              <w:rPr>
                <w:rFonts w:ascii="Times New Roman" w:cs="Times New Roman" w:eastAsia="Times New Roman" w:hAnsi="Times New Roman"/>
                <w:sz w:val="26"/>
                <w:szCs w:val="26"/>
                <w:color w:val="auto"/>
                <w:w w:val="94"/>
                <w:vertAlign w:val="superscript"/>
              </w:rPr>
              <w:t>(2)(3)</w:t>
            </w:r>
          </w:p>
        </w:tc>
        <w:tc>
          <w:tcPr>
            <w:tcW w:w="126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80,000</w:t>
            </w:r>
          </w:p>
        </w:tc>
        <w:tc>
          <w:tcPr>
            <w:tcW w:w="22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9/12/2027</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1260" w:type="dxa"/>
            <w:vAlign w:val="bottom"/>
            <w:gridSpan w:val="4"/>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6"/>
                <w:szCs w:val="16"/>
                <w:color w:val="auto"/>
                <w:w w:val="94"/>
              </w:rPr>
              <w:t>9/24/2020</w:t>
            </w:r>
            <w:r>
              <w:rPr>
                <w:rFonts w:ascii="Times New Roman" w:cs="Times New Roman" w:eastAsia="Times New Roman" w:hAnsi="Times New Roman"/>
                <w:sz w:val="26"/>
                <w:szCs w:val="26"/>
                <w:color w:val="auto"/>
                <w:w w:val="94"/>
                <w:vertAlign w:val="superscript"/>
              </w:rPr>
              <w:t>(3)(4)</w:t>
            </w:r>
          </w:p>
        </w:tc>
        <w:tc>
          <w:tcPr>
            <w:tcW w:w="126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13,333</w:t>
            </w:r>
          </w:p>
        </w:tc>
        <w:tc>
          <w:tcPr>
            <w:tcW w:w="22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9/23/2030</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1260" w:type="dxa"/>
            <w:vAlign w:val="bottom"/>
            <w:gridSpan w:val="4"/>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6"/>
                <w:szCs w:val="16"/>
                <w:color w:val="auto"/>
                <w:w w:val="95"/>
              </w:rPr>
              <w:t>09/11/2023</w:t>
            </w:r>
            <w:r>
              <w:rPr>
                <w:rFonts w:ascii="Times New Roman" w:cs="Times New Roman" w:eastAsia="Times New Roman" w:hAnsi="Times New Roman"/>
                <w:sz w:val="26"/>
                <w:szCs w:val="26"/>
                <w:color w:val="auto"/>
                <w:w w:val="95"/>
                <w:vertAlign w:val="superscript"/>
              </w:rPr>
              <w:t>(3)(4)</w:t>
            </w:r>
          </w:p>
        </w:tc>
        <w:tc>
          <w:tcPr>
            <w:tcW w:w="240" w:type="dxa"/>
            <w:vAlign w:val="bottom"/>
            <w:shd w:val="clear" w:color="auto" w:fill="CCEEFF"/>
          </w:tcPr>
          <w:p>
            <w:pPr>
              <w:spacing w:after="0"/>
              <w:rPr>
                <w:sz w:val="19"/>
                <w:szCs w:val="19"/>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36,562</w:t>
            </w:r>
          </w:p>
        </w:tc>
        <w:tc>
          <w:tcPr>
            <w:tcW w:w="158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28,438</w:t>
            </w:r>
          </w:p>
        </w:tc>
        <w:tc>
          <w:tcPr>
            <w:tcW w:w="11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3.33</w:t>
            </w: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09/10/2033</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1580" w:type="dxa"/>
            <w:vAlign w:val="bottom"/>
            <w:gridSpan w:val="3"/>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12/18/2024</w:t>
            </w:r>
            <w:r>
              <w:rPr>
                <w:rFonts w:ascii="Times New Roman" w:cs="Times New Roman" w:eastAsia="Times New Roman" w:hAnsi="Times New Roman"/>
                <w:sz w:val="27"/>
                <w:szCs w:val="27"/>
                <w:color w:val="auto"/>
                <w:w w:val="93"/>
                <w:vertAlign w:val="superscript"/>
              </w:rPr>
              <w:t>(4)(6)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39,000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2.29</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12/17/2034</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12/18/2024</w:t>
            </w:r>
            <w:r>
              <w:rPr>
                <w:rFonts w:ascii="Times New Roman" w:cs="Times New Roman" w:eastAsia="Times New Roman" w:hAnsi="Times New Roman"/>
                <w:sz w:val="27"/>
                <w:szCs w:val="27"/>
                <w:color w:val="auto"/>
                <w:w w:val="93"/>
                <w:vertAlign w:val="superscript"/>
              </w:rPr>
              <w:t>(5)(6)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19,937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86,925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8/27/2025</w:t>
            </w:r>
            <w:r>
              <w:rPr>
                <w:rFonts w:ascii="Times New Roman" w:cs="Times New Roman" w:eastAsia="Times New Roman" w:hAnsi="Times New Roman"/>
                <w:sz w:val="27"/>
                <w:szCs w:val="27"/>
                <w:color w:val="auto"/>
                <w:w w:val="93"/>
                <w:vertAlign w:val="superscript"/>
              </w:rPr>
              <w:t>(4)(6)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142,500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3.64</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8/26/2035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8/27/2025</w:t>
            </w:r>
            <w:r>
              <w:rPr>
                <w:rFonts w:ascii="Times New Roman" w:cs="Times New Roman" w:eastAsia="Times New Roman" w:hAnsi="Times New Roman"/>
                <w:sz w:val="27"/>
                <w:szCs w:val="27"/>
                <w:color w:val="auto"/>
                <w:w w:val="93"/>
                <w:vertAlign w:val="superscript"/>
              </w:rPr>
              <w:t>(5)(6)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107,500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468,700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line="274"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option and RSU awards were granted under the 2009 Plan, the 2019 Plan, the 2022 Plan or the 2023 Inducement Plan, the terms of which are described below under “Employee Benefit and Stock Plans.”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9" w:name="page30"/>
    <w:bookmarkEnd w:id="29"/>
    <w:p>
      <w:pPr>
        <w:ind w:left="300" w:hanging="299"/>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subject to this option award were fully vested as of the date of grant.</w:t>
      </w:r>
    </w:p>
    <w:p>
      <w:pPr>
        <w:spacing w:after="0" w:line="22"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Reduction Date, the Board approved a reduction in the exercise prices of the Eligible Options. The exercise price for Eligible Options was reduced to $3.33 per share, the closing price of the common stock on the Reduction Date.</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subject to this option award vest as to 25% of the total shares on the one-year anniversary of the vesting commencement date, and vest in 36 equal monthly installments thereafter, subject to continuous service through each such date.</w:t>
      </w:r>
    </w:p>
    <w:p>
      <w:pPr>
        <w:spacing w:after="0" w:line="1"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subject to this RSU award vest as to 25% of the total shares on the one-year anniversary of the vesting commencement date, and the balance of the shares subject to each RSU will vest as to 8.33% of the balance on each of the subsequent twelve Quarterly Vesting Dates, subject to continuous service through each such date.</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holder is terminated without cause within three months prior to, or within eighteen months following, a change in control, or resigns for good reason within such period, then the unvested portion of this option or RSU shall vest and become exercisable in full.</w:t>
      </w:r>
    </w:p>
    <w:p>
      <w:pPr>
        <w:spacing w:after="0" w:line="1"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reported is equal to the closing price of the Company’s common stock as of December 31, 2025, which was $4.36, multiplied by the number of RSUs that were outstanding and unvested as of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Perquisites Health, Welfare and Retirement Benefits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named executive officers, during their employment with us, are eligible to participate in our employee benefit plans, including our medical, dental, group term life, disability and accidental death and dismemberment insurance plans, in each case on the same basis as all of our other employees. In addition, we provide a 401(k) plan to our employees, including our named executive officers, as discussed in the section below entitled “401(k) Plan.”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generally do not provide perquisites or personal benefits to our named executive officers, except in limited circumstances. We do, however, pay the premiums for medical, dental, group term life, disability and accidental death and dismemberment insurance for all of our employees, including our named executive officers. The Board may elect to adopt qualified or nonqualified benefit plans in the future if it determines that doing so is in our best interests.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Benefit and Stock Plans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and our 401(k) plan are summarized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employer profit sharing contributions to the 401(k) plan. Beginning in January 2026, we implemented a matching contribution of 100% of the first 3% of compensation deferred (contributed) by an employee and 50% of the next 2% of compensation deferred (contributed). The 401(k) plan is intended to be qualified under Section 401(a) of Internal Revenue Code of 1986, as amended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Equity Incentive Plan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2022 Plan provides for the grant of incentive stock options (“ISOs”) to employees, including employees of any parent or subsidiary, and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nonstatutory stock options (“NSOs”), stock appreciation rights, restricted stock awards, restricted stock unit awards, performance awards and other forms of stock awards to employees, directors, and consultants, including employees and consultants of our affiliates.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0" w:name="page31"/>
    <w:bookmarkEnd w:id="30"/>
    <w:p>
      <w:pPr>
        <w:jc w:val="both"/>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Corporate Transactions. </w:t>
      </w:r>
      <w:r>
        <w:rPr>
          <w:rFonts w:ascii="Times New Roman" w:cs="Times New Roman" w:eastAsia="Times New Roman" w:hAnsi="Times New Roman"/>
          <w:sz w:val="16"/>
          <w:szCs w:val="16"/>
          <w:color w:val="auto"/>
        </w:rPr>
        <w:t>The following applies to stock awards under the 2022 Plan in the event of a corporate transaction, unless otherwise provided in a participant’s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award agreement or other written agreement with us or one of our affiliates or unless otherwise expressly provided by the plan administrator at the time of grant.</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the event of a corporate transaction,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value of the property the participant would have received upon the exercise of the stock award over (2) any exercise price payable by such holder in connection with such exercise.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our 2022 Plan, a corporate transaction is defined to include the consummation of: (1) a sale of all or substantially all of our assets, (2) the sale or disposition of at least 50% of our outstanding securities, (3) a merger or consolidation where we do not survive the transaction, and (4)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In the event of a change in control, as defined under our 2022 Plan, awards granted under our 2022 Plan will not receive automatic acceleration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 and exercisability, although this treatment may be provided for in an award agreement.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Under the 2022 Plan, a change in control is defined to include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consummated sale, lease, exclusive license or other disposition of all or substantially all of our assets other than to an entity more than 50% of the combined voting power of which is owned by our stockholders; and (5) a change in the majority of the board of directors that was not approved or recommended by a majority of the incumbent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Equity Incentive Plan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2019 Plan provides for the grant of ISOs, NSOs, stock appreciation rights, restricted stock awards, restricted stock units and other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to employees, directors, and consultants.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Transactions</w:t>
      </w:r>
      <w:r>
        <w:rPr>
          <w:rFonts w:ascii="Times New Roman" w:cs="Times New Roman" w:eastAsia="Times New Roman" w:hAnsi="Times New Roman"/>
          <w:sz w:val="17"/>
          <w:szCs w:val="17"/>
          <w:color w:val="auto"/>
        </w:rPr>
        <w:t>. Our 2019 Plan provides that, in the event of a “change in control” or a “corporate transaction,” unless otherwise provided in an award agreement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written agreement between us and the award holder or unless otherwise expressly provided by our board of directors at the time of grant of a stock award, our board of directors, the plan administrator, may take one or more of the following actions with respect to such stock awards contingent upon the closing or completion of the transaction:</w:t>
      </w:r>
    </w:p>
    <w:p>
      <w:pPr>
        <w:spacing w:after="0" w:line="172" w:lineRule="exact"/>
        <w:rPr>
          <w:sz w:val="20"/>
          <w:szCs w:val="20"/>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for the assumption of, continuation of or substitution of the stock award by the surviving or acquiring corporation;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for the assignment of any reacquisition or repurchase rights held by us to the surviving or acquiring corporation;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acceleration of vesting of any stock award;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for the lapse of any reacquisition or repurchase rights held by us with respect to the stock award;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cancellation of any stock award, to the extent not vested or not exercised prior to the effective time of such transaction, for such cash consideration, if any, as the board of directors in its sole discretion may consider appropriate; or</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payment (in such form as may be determined by the board of directors) equal to the excess, if any, of (A) the value of the property that would have been received upon the exercise of the stock award immediately prior to the effective time of the transaction, over (B) any exercise price payable by such holder in connection with such exercise, with such payments delayed to the same extent that payment of consideration to the holders of our common stock is delayed as a result of escrows, earn outs, holdbacks or any other contingencies related to such transaction.</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plan administrator is not obligated to treat all stock awards or portions of stock awards in the same manner and is not obligated to treat all participants in the same manner.</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A stock award may be subject to additional acceleration of vesting and exercisability upon or after a change in control as may be provided in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award agreement or other written agreement, but in the absence of such provision, no such acceleration will occur.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2009 Equity Incentive Plan</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2009 Plan provides for the grant of ISOs to our employees, NSOs, restricted stock awards, stock appreciation rights, dividend equivalent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payment awards and restricted stock unit awards to employees, non-employee directors and consultants.</w:t>
      </w:r>
    </w:p>
    <w:p>
      <w:pPr>
        <w:spacing w:after="0" w:line="1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Our 2009 Plan provides that in the event of certain changes to the capital structure described above or a change in control, the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may take one or more of the following actions with respect to such stock awards:</w:t>
      </w:r>
    </w:p>
    <w:p>
      <w:pPr>
        <w:spacing w:after="0" w:line="155" w:lineRule="exact"/>
        <w:rPr>
          <w:sz w:val="20"/>
          <w:szCs w:val="20"/>
          <w:color w:val="auto"/>
        </w:rPr>
      </w:pPr>
    </w:p>
    <w:p>
      <w:pPr>
        <w:ind w:left="600" w:hanging="297"/>
        <w:spacing w:after="0" w:line="274"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either (A) termination of any award in exchange for an amount of cash or other property equal to the amount that would have been received upon the exercise of such award or realization of participants rights, or (B) the replacement of such award with other rights or property;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for the assumption, continuation, or substitution of a stock award by a surviving or acquiring corporation;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adjustments in the number and type of securities subject to outstanding awards, and to the terms and conditions of awards;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an award will be exercisable, payable, or fully vested with respect to all shares;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an award cannot vest, be exercised or become payable after such event.</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a change in control occurs and awards are not continued, converted, assumed, or replaced by the successor entity, then immediately prior to such change in control, the awards will become fully exercisable or payable.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2022 Employee Stock Purchase Plan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2022 Employee Stock Purchase Plan (“ESPP”) is intended to qualify as an “employee stock purchase plan” within the meaning of Section 423 of the Code for U.S. employees. Under the ESPP, all of our regular employees, including our Named Executive Officers, and employees of any of our parent or subsidiary companies designated by the board of directors as eligible to participate may participate and may contribute, normally through payroll deductions, up to 15% of their earnings up to a total of $25,000 per calendar year for the purchase of our common stock under the ESPP. The ESPP is implemented through a series of offerings of purchase rights to eligible employees. Under the ESPP, we may specify offerings with a duration of not more than 27 months, and may specify shorter purchase periods within each offering. Each offering will have one or more purchase dates on which our common stock will be purchased for employees participating in the offering. Unless otherwise determined by the board of directors, shares of our common stock are purchased for accounts of employees participating in the ESPP at a price per share equal to the lower of (a) 85% of the fair market value of a share of our common stock on the first date of an offering or (b) 85% of the fair market value of a share of our common stock on the date of purchase.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In the event of certain significant corporate transactions, including the consummation of (1) a sale of all or substantially all of our assets,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or disposition of more than 50% of our outstanding securities, (3) a merger or consolidation where we do not survive the transaction, or (4)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Inducement Plan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2023 Inducement Plan provides for the grant of ISOs, NSOs, restricted stock awards, restricted stock unit awards, performance awards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forms of stock awards to eligible employees who satisfy the standards for inducement grants under Nasdaq Marketplace Rule 5635(c)(4) or 5635(c)(3), if applicable, and the related guidance under Nasdaq IM 5635-1.</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The following applies to stock awards under the 2023 Inducement Plan in the event of a corporate transaction, unless otherwise provided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participant’s stock award agreement or other written agreement with us or one of our affiliates or unless otherwise expressly provided by the plan administrator at the time of grant.</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the event of a corporate transaction, any stock awards outstanding under the 2023 Inducement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value of the property the participant would have received upon the exercise of the stock award over (2) any exercise price payable by such holder in connection with such exercise.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our 2023 Inducement Plan, a corporate transaction is defined to include the consummation of: (1) a sale of all or substantially all of our assets, (2) the sale or disposition of at least 50% of our outstanding securities, (3) a merger or consolidation where we do not survive the transaction, or (4)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In the event of a change in control, as defined under our 2023 Inducement Plan, awards granted under our 2023 Inducement Plan will not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automatic acceleration of vesting and exercisability, although this treatment may be provided for in an award agreement.</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Under the 2023 Inducement Plan, a change in control is defined to include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(3) a consummated sale, lease, exclusive license or other disposition of all or substantially all of our assets other than to an entity more than 50% of the combined voting power of which is owned by our stockholders; or (4) a change in the majority of the board of directors that was not approved or recommended by a majority of the incumbent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certain information with respect to all of our equity compensation plans in effect 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Number of securities</w:t>
            </w:r>
          </w:p>
        </w:tc>
      </w:tr>
      <w:tr>
        <w:trPr>
          <w:trHeight w:val="202"/>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 available for</w:t>
            </w:r>
          </w:p>
        </w:tc>
      </w:tr>
      <w:tr>
        <w:trPr>
          <w:trHeight w:val="202"/>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Number of securities to</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6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issuance under equity</w:t>
            </w:r>
          </w:p>
        </w:tc>
      </w:tr>
      <w:tr>
        <w:trPr>
          <w:trHeight w:val="202"/>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be issued upon exercise</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exercise price of</w:t>
            </w:r>
          </w:p>
        </w:tc>
        <w:tc>
          <w:tcPr>
            <w:tcW w:w="16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 plans</w:t>
            </w:r>
          </w:p>
        </w:tc>
      </w:tr>
      <w:tr>
        <w:trPr>
          <w:trHeight w:val="202"/>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of outstanding options,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outstanding options,</w:t>
            </w:r>
          </w:p>
        </w:tc>
        <w:tc>
          <w:tcPr>
            <w:tcW w:w="16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(excluding securities</w:t>
            </w:r>
          </w:p>
        </w:tc>
      </w:tr>
      <w:tr>
        <w:trPr>
          <w:trHeight w:val="202"/>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warrants and rights (a)</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warrants and rights (b)</w:t>
            </w:r>
          </w:p>
        </w:tc>
        <w:tc>
          <w:tcPr>
            <w:tcW w:w="16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reflected in column (a))</w:t>
            </w:r>
          </w:p>
        </w:tc>
      </w:tr>
      <w:tr>
        <w:trPr>
          <w:trHeight w:val="222"/>
        </w:trPr>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w:t>
            </w:r>
          </w:p>
        </w:tc>
      </w:tr>
      <w:tr>
        <w:trPr>
          <w:trHeight w:val="195"/>
        </w:trPr>
        <w:tc>
          <w:tcPr>
            <w:tcW w:w="5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Incentive Plan</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1,555,037</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3.82</w:t>
            </w:r>
          </w:p>
        </w:tc>
        <w:tc>
          <w:tcPr>
            <w:tcW w:w="16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Incentive Plan</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1,637,562</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4.65</w:t>
            </w:r>
          </w:p>
        </w:tc>
        <w:tc>
          <w:tcPr>
            <w:tcW w:w="1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Incentive Plan</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2,653,080</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2,227,576</w:t>
            </w:r>
          </w:p>
        </w:tc>
        <w:tc>
          <w:tcPr>
            <w:tcW w:w="100" w:type="dxa"/>
            <w:vAlign w:val="bottom"/>
          </w:tcPr>
          <w:p>
            <w:pPr>
              <w:spacing w:after="0"/>
              <w:rPr>
                <w:sz w:val="17"/>
                <w:szCs w:val="17"/>
                <w:color w:val="auto"/>
              </w:rPr>
            </w:pPr>
          </w:p>
        </w:tc>
      </w:tr>
      <w:tr>
        <w:trPr>
          <w:trHeight w:val="202"/>
        </w:trPr>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50,463</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1,209,541</w:t>
            </w:r>
          </w:p>
        </w:tc>
        <w:tc>
          <w:tcPr>
            <w:tcW w:w="100" w:type="dxa"/>
            <w:vAlign w:val="bottom"/>
            <w:shd w:val="clear" w:color="auto" w:fill="CCEEFF"/>
          </w:tcPr>
          <w:p>
            <w:pPr>
              <w:spacing w:after="0"/>
              <w:rPr>
                <w:sz w:val="17"/>
                <w:szCs w:val="17"/>
                <w:color w:val="auto"/>
              </w:rPr>
            </w:pPr>
          </w:p>
        </w:tc>
      </w:tr>
      <w:tr>
        <w:trPr>
          <w:trHeight w:val="214"/>
        </w:trPr>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866,300</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1,133,700</w:t>
            </w:r>
          </w:p>
        </w:tc>
        <w:tc>
          <w:tcPr>
            <w:tcW w:w="100" w:type="dxa"/>
            <w:vAlign w:val="bottom"/>
          </w:tcPr>
          <w:p>
            <w:pPr>
              <w:spacing w:after="0"/>
              <w:rPr>
                <w:sz w:val="18"/>
                <w:szCs w:val="18"/>
                <w:color w:val="auto"/>
              </w:rPr>
            </w:pPr>
          </w:p>
        </w:tc>
      </w:tr>
      <w:tr>
        <w:trPr>
          <w:trHeight w:val="207"/>
        </w:trPr>
        <w:tc>
          <w:tcPr>
            <w:tcW w:w="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6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6,762,442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4,570,817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1"/>
        </w:trPr>
        <w:tc>
          <w:tcPr>
            <w:tcW w:w="5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do not maintain nonqualified defined contribution plans or other nonqualified deferred compensation plans. The Board may elect to provide our officers and other employees with nonqualified defined contribution or other nonqualified deferred compensation benefits in the future if it determines that doing so is in our best interests.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Regardless of the manner in which a named executive officer’s service terminates, each named executive officer is entitled to receive amounts earned during his or her term of service, including unpaid salary and unused paid time off, as applicable. In addition, certain of the equity awards held by each of our named executive officers are eligible to accelerate and vest in the event the holder is terminated without cause within three months prior to, or within eighteen months following, a change in control, or resigns for good reason within such period.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Pursuant to the terms of Mr. Zindrick’s employment agreement, in the event he is subject to a termination without “cause” or he resigns for “good reason” (each, as defined in Mr. Zindrick’s employment agreement), Mr. Zindrick shall be entitled to receive (i) continued payment of his base salary for twelve (12) months and Company-paid COBRA premiums for up to twelve (12) months, and (ii) in the event of a termination by the Company without cause, 100% of his target annual bonus for the calendar year in which the separation occurs. In the event Mr. Zindrick is subject to a termination without cause or he resigns for good reason within three (3) months prior to or eighteen (18) months following a “change in control” (as defined in the 2022 Plan), Mr. Zindrick shall be entitled to receive (i) a lump sum cash payment equal to eighteen (18) months of his then-current base salary and 100% of his target annual bonus for the calendar year in which the separation occurs; and</w:t>
      </w:r>
    </w:p>
    <w:p>
      <w:pPr>
        <w:spacing w:after="0" w:line="3" w:lineRule="exact"/>
        <w:rPr>
          <w:sz w:val="20"/>
          <w:szCs w:val="20"/>
          <w:color w:val="auto"/>
        </w:rPr>
      </w:pPr>
    </w:p>
    <w:p>
      <w:pPr>
        <w:ind w:firstLine="1"/>
        <w:spacing w:after="0" w:line="255" w:lineRule="auto"/>
        <w:tabs>
          <w:tab w:leader="none" w:pos="24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COBRA premiums for up to eighteen (18) months. Such benefits are contingent on Mr. Zindrick’s execution and nonrevocation of a general release of claims against the Company.</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terms of Mr. Pulisic’s employment agreement, in the event he is subject to a termination without “cause” or he resigns for “good reason” (each, as defined in Mr. Pulisic’s employment agreement), Mr. Pulisic shall be entitled to receive (i) continued payment of his base salary for six (6) months and Company-paid COBRA premiums for up to twelve (12) months, and (ii) in the event of a termination by the Company without cause, 100% of his target annual bonus for the calendar year in which the separation occurs. In the event Mr. Pulisic is subject to a termination without cause or he resigns for good reason within three (3) months prior to or eighteen (18) months following a “change in control” (as defined in the 2022 Plan), Mr. Pulisic shall be entitled to receive (i) a lump sum cash payment equal to twelve (12) months of his then-current base salary and 100% of his target annual bonus for the calendar year in which the separation occurs; and (ii) Company-paid COBRA premiums for up to twelve (12) months. Such benefits are contingent on Mr. Pulisic’s execution and nonrevocation of a general release of claims against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terms of Dr. Cappello’s employment agreement, in the event he is subject to an “involuntary termination” that does not occur within the “change in control period” (each, as defined in Dr. Cappello’s employment agreement), Dr. Cappello shall be entitled to Company-paid COBRA premiums for up to twelve (12) months. In the event Dr. Cappello is subject to an “involuntary termination” during a “change in control period,” Dr. Cappello is entitled to receive (i) a lump sum cash payment equal to twelve (12) months of his then-current base salary and (ii) Company-paid COBRA premiums for up to twelve (12) months. Such benefits are contingent on Dr. Cappello’s execution and nonrevocation of a general release of claims against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 Close in Time to the Release of Material Nonpublic Information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From time to time, the Company grants stock options to its employees, including the named executive officers. Historically, the Company has granted new-hire option awards on or soon after a new hire’s employment start date and annual refresh employee option grants which typically are approved at the regularly scheduled meeting of the Compensation Committee occurring on or around the date of the Company’s annual meeting of stockholders.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“Non-Employee Director Compensation-Non-Employee Director Compensation Policy.”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table sets forth information regarding the compensation earned for service on the Board during the year ended December 31, 2025. Thomas D. Zindrick, J.D., our current President and Chief Executive Officer, was also a member of the Board during 2025, but did not receive any additional compensation for his service as a director on the Board. Mr. Zindrick’s compensation as an executive officer is set forth in the section titled “Executive Compensation—Summary Compensation Table.” All of our non-employee directors are entitled to reimbursement of direct expenses incurred in connection with attending meetings of the Board or committees thereof.</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Fees Earned</w:t>
            </w:r>
          </w:p>
        </w:tc>
        <w:tc>
          <w:tcPr>
            <w:tcW w:w="13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8"/>
              </w:rPr>
              <w:t>Stock Awards</w:t>
            </w: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7"/>
                <w:szCs w:val="17"/>
                <w:b w:val="1"/>
                <w:bCs w:val="1"/>
                <w:color w:val="auto"/>
                <w:w w:val="97"/>
              </w:rPr>
              <w:t>or Paid in</w:t>
            </w:r>
          </w:p>
        </w:tc>
        <w:tc>
          <w:tcPr>
            <w:tcW w:w="13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tcPr>
          <w:p>
            <w:pPr>
              <w:jc w:val="center"/>
              <w:ind w:right="400"/>
              <w:spacing w:after="0" w:line="172" w:lineRule="exact"/>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Cash ($)</w:t>
            </w:r>
          </w:p>
        </w:tc>
        <w:tc>
          <w:tcPr>
            <w:tcW w:w="1060" w:type="dxa"/>
            <w:vAlign w:val="bottom"/>
          </w:tcPr>
          <w:p>
            <w:pPr>
              <w:jc w:val="right"/>
              <w:ind w:right="256"/>
              <w:spacing w:after="0" w:line="251"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(1)</w:t>
            </w:r>
          </w:p>
        </w:tc>
        <w:tc>
          <w:tcPr>
            <w:tcW w:w="300" w:type="dxa"/>
            <w:vAlign w:val="bottom"/>
          </w:tcPr>
          <w:p>
            <w:pPr>
              <w:spacing w:after="0"/>
              <w:rPr>
                <w:sz w:val="21"/>
                <w:szCs w:val="21"/>
                <w:color w:val="auto"/>
              </w:rPr>
            </w:pPr>
          </w:p>
        </w:tc>
        <w:tc>
          <w:tcPr>
            <w:tcW w:w="1360" w:type="dxa"/>
            <w:vAlign w:val="bottom"/>
            <w:gridSpan w:val="2"/>
          </w:tcPr>
          <w:p>
            <w:pPr>
              <w:jc w:val="right"/>
              <w:ind w:right="360"/>
              <w:spacing w:after="0" w:line="251" w:lineRule="exact"/>
              <w:rPr>
                <w:sz w:val="20"/>
                <w:szCs w:val="20"/>
                <w:color w:val="auto"/>
              </w:rPr>
            </w:pPr>
            <w:r>
              <w:rPr>
                <w:rFonts w:ascii="Times New Roman" w:cs="Times New Roman" w:eastAsia="Times New Roman" w:hAnsi="Times New Roman"/>
                <w:sz w:val="17"/>
                <w:szCs w:val="17"/>
                <w:b w:val="1"/>
                <w:bCs w:val="1"/>
                <w:color w:val="auto"/>
                <w:w w:val="95"/>
              </w:rPr>
              <w:t xml:space="preserve">Awards </w:t>
            </w:r>
            <w:r>
              <w:rPr>
                <w:rFonts w:ascii="Times New Roman" w:cs="Times New Roman" w:eastAsia="Times New Roman" w:hAnsi="Times New Roman"/>
                <w:sz w:val="17"/>
                <w:szCs w:val="17"/>
                <w:b w:val="1"/>
                <w:bCs w:val="1"/>
                <w:u w:val="single" w:color="auto"/>
                <w:color w:val="auto"/>
                <w:w w:val="95"/>
              </w:rPr>
              <w:t>($</w:t>
            </w:r>
            <w:r>
              <w:rPr>
                <w:rFonts w:ascii="Times New Roman" w:cs="Times New Roman" w:eastAsia="Times New Roman" w:hAnsi="Times New Roman"/>
                <w:sz w:val="17"/>
                <w:szCs w:val="17"/>
                <w:b w:val="1"/>
                <w:bCs w:val="1"/>
                <w:color w:val="auto"/>
                <w:w w:val="95"/>
              </w:rPr>
              <w:t>)</w:t>
            </w:r>
            <w:r>
              <w:rPr>
                <w:rFonts w:ascii="Times New Roman" w:cs="Times New Roman" w:eastAsia="Times New Roman" w:hAnsi="Times New Roman"/>
                <w:sz w:val="28"/>
                <w:szCs w:val="28"/>
                <w:b w:val="1"/>
                <w:bCs w:val="1"/>
                <w:color w:val="auto"/>
                <w:w w:val="95"/>
                <w:vertAlign w:val="superscript"/>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194"/>
        </w:trPr>
        <w:tc>
          <w:tcPr>
            <w:tcW w:w="3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L. Tyree</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86,500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81,110</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81,399</w:t>
            </w:r>
          </w:p>
        </w:tc>
        <w:tc>
          <w:tcPr>
            <w:tcW w:w="1480" w:type="dxa"/>
            <w:vAlign w:val="bottom"/>
            <w:gridSpan w:val="2"/>
            <w:shd w:val="clear" w:color="auto" w:fill="CCEEFF"/>
          </w:tcPr>
          <w:p>
            <w:pPr>
              <w:jc w:val="right"/>
              <w:ind w:right="260"/>
              <w:spacing w:after="0" w:line="24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7"/>
                <w:szCs w:val="27"/>
                <w:color w:val="auto"/>
                <w:vertAlign w:val="superscript"/>
              </w:rPr>
              <w:t>(2)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264,009</w:t>
            </w: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Thomas, Ph.D.</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64,000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81,110</w:t>
            </w:r>
          </w:p>
        </w:tc>
        <w:tc>
          <w:tcPr>
            <w:tcW w:w="30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81,399</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226,509</w:t>
            </w: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Mary Mirabelli</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60,500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81,100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81,399</w:t>
            </w: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223,009</w:t>
            </w:r>
          </w:p>
        </w:tc>
        <w:tc>
          <w:tcPr>
            <w:tcW w:w="0" w:type="dxa"/>
            <w:vAlign w:val="bottom"/>
          </w:tcPr>
          <w:p>
            <w:pPr>
              <w:spacing w:after="0"/>
              <w:rPr>
                <w:sz w:val="1"/>
                <w:szCs w:val="1"/>
                <w:color w:val="auto"/>
              </w:rPr>
            </w:pPr>
          </w:p>
        </w:tc>
      </w:tr>
      <w:tr>
        <w:trPr>
          <w:trHeight w:val="218"/>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Smither</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61,500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81,100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81,399</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224,009</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300" w:hanging="299"/>
        <w:spacing w:after="0" w:line="250"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do not reflect dollar amounts actually received by the director. Instead, the amounts reflect the aggregate grant date fair value of the stock options and RSUs granted to the director during 2025 under the 2022 Plan, computed in accordance with ASC Topic 718, as further described below. As required by SEC rules, the amount shown excludes the impact of estimated forfeitures related to service-based vesting conditions. The amount reported in this column reflects the accounting cost for these stock options and does not correspond to the actual economic value that may be received by the director upon the exercise of the stock options or any sale of the underlying shares of common stock. For our 2025 fiscal year, the amounts reflect an option to purchase 28,576 shares with an exercise price of $3.64 per share and a grant of 22,283 RSUs, in each case granted on August 27, 2025, pursuant to our Non-Employee Director Compensation Policy as then in effect.</w:t>
      </w:r>
    </w:p>
    <w:p>
      <w:pPr>
        <w:spacing w:after="0" w:line="2"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2025, the Company’s Board, following consultation with the Compensation Committee and the Company’s compensation consultant, approved and awarded Mr. Tyree a one-time cash payment of $15,000 for his advisory contributions to the Company’s strategic financing transaction in 2025.</w:t>
      </w:r>
    </w:p>
    <w:p>
      <w:pPr>
        <w:spacing w:after="0" w:line="174"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 table below sets forth the aggregate number of shares subject to outstanding stock options beneficially owned by each of our directors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Underlying Outstanding</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Underlying Outstanding</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Options as of</w:t>
            </w: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RSU Awards as of</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c>
          <w:tcPr>
            <w:tcW w:w="200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Total Shares</w:t>
            </w:r>
          </w:p>
        </w:tc>
      </w:tr>
      <w:tr>
        <w:trPr>
          <w:trHeight w:val="195"/>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L. Tyree</w:t>
            </w:r>
          </w:p>
        </w:tc>
        <w:tc>
          <w:tcPr>
            <w:tcW w:w="2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177,509</w:t>
            </w:r>
          </w:p>
        </w:tc>
        <w:tc>
          <w:tcPr>
            <w:tcW w:w="3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22,283</w:t>
            </w:r>
          </w:p>
        </w:tc>
        <w:tc>
          <w:tcPr>
            <w:tcW w:w="3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199,792</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Thomas, Ph.D.</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164,182</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22,283</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186,465</w:t>
            </w:r>
          </w:p>
        </w:tc>
      </w:tr>
      <w:tr>
        <w:trPr>
          <w:trHeight w:val="202"/>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Mary Mirabelli</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108,442</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22,283</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130,725</w:t>
            </w:r>
          </w:p>
        </w:tc>
      </w:tr>
      <w:tr>
        <w:trPr>
          <w:trHeight w:val="218"/>
        </w:trPr>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Smither</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87,492</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22,283</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109,775</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exercise price of each option is equal to the fair market value of our common stock as of the date of grant.</w:t>
      </w: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maintain a non-employee director compensation policy (as amended, the “compensation policy”) that was most recently amended in August 2025. The amendment to the compensation policy in August 2025 (a) increased the annual cash retainer for the chair of the Compensation Committee from $10,000 to $12,000 and for the chair of the Nominating Committee from $8,000 to $10,000, (b) added a cash stipend of $1,000 for each meeting of the Board in excess of five Board meetings in a calendar year, and (c) added a cash stipend of $1,000 for each meeting of a committee of the Board in excess of four meetings of such committee in a calendar year. The compensation policy provides that each non-employee director will automatically receive the following compensation for service on the Board:</w:t>
      </w:r>
    </w:p>
    <w:p>
      <w:pPr>
        <w:spacing w:after="0" w:line="176" w:lineRule="exact"/>
        <w:rPr>
          <w:sz w:val="20"/>
          <w:szCs w:val="20"/>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$40,000;</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$30,000 to the lead independent director of the Board;</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$15,000, $12,000, and $10,000 for service as chair of our Audit Committee, Compensation Committee and Nominating Committee, respectively;</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(not applicable to committee chairs) of $7,500, $5,000, and $4,000 for service as a member of our Audit Committee, Compensation Committee and Nominating Committee, respectively;</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cash stipend of $1,000 for each meeting of the Board in excess of 5 Board meetings in a calendar year (calculated only with respect to Board meetings that are at least one hour in duration), provided such non-employee director attends such meeting;</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cash stipend of $1,000 for each meeting of a committee of the Board in excess of 4 meetings of such committee in a calendar year (calculated only with respect to committee meetings that are at least one hour in duration), provided such non-employee director attends such meeting;</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eligible director who is first elected or appointed to the Board, an initial option to purchase a number of shares of our common stock with a grant-date value of $155,000 and a restricted stock unit award with a grant-date value of $155,000 (the “Initial Grants”). These Initial Grants will vest in equal installments every three months over a three year period such that the Initial Grants are fully vested on the third anniversary of the date of grant, subject to the director’s continuous service through each such vesting date, and will vest in full upon a Change in Control (as defined in the 2022 Plan). The number of shares underlying stock options shall be calculated based on the grant date fair value of a share of our common stock using a Black-Scholes model. The number of shares underlying restricted stock unit awards shall be calculated in accordance with the Company’s equity award policy in effect from time to time; and</w:t>
      </w:r>
    </w:p>
    <w:p>
      <w:pPr>
        <w:spacing w:after="0" w:line="3" w:lineRule="exact"/>
        <w:rPr>
          <w:rFonts w:ascii="Times New Roman" w:cs="Times New Roman" w:eastAsia="Times New Roman" w:hAnsi="Times New Roman"/>
          <w:sz w:val="17"/>
          <w:szCs w:val="17"/>
          <w:color w:val="auto"/>
        </w:rPr>
      </w:pPr>
    </w:p>
    <w:p>
      <w:pPr>
        <w:jc w:val="both"/>
        <w:ind w:left="600" w:hanging="297"/>
        <w:spacing w:after="0" w:line="248"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annual option grant to purchase a number of shares of our common stock with a grant-date value of $77,500 and a restricted stock unit award with a grant-date value of $77,500 (the “Annual Grants”);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 director has not served as member of the Board for 12 months prior to the applicable annual stockholder meeting, the number of shares subject to such individual’s Annual Grants will be pro-rated based on the number of full months served on the Board, rounded to the nearest whole share. The Annual Grants will vest on the first anniversary of the date of grant, provided that the Annual Grants will in any case be fully vested on the date of Company’s next annual stockholder meeting, subject to the director’s continuous service through such vesting date and will vest in full upon a Change in Control (as defined in the 2022 Plan). The number of shares underlying stock options shall be calculated based on the grant date fair value of a share of our common stock using a Black-Scholes model. The number of shares underlying restricted stock unit awards shall be calculated in accordance with the Company’s equity award policy in effect from time to time.</w:t>
      </w:r>
    </w:p>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Each of the option grants and restricted stock unit awards described above will be granted under our 2022 Plan. The term of each option will be 10 years, subject to earlier termination as provided in the 2022 Plan.</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addition, the Board or the Compensation Committee may from time to time determine to make discretionary cash awards and/or discretionary grants of stock options or other equity awards under the 2022 Plan to our non-employee directors in connection with their service on the Board.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7" w:name="page38"/>
    <w:bookmarkEnd w:id="37"/>
    <w:p>
      <w:pPr>
        <w:ind w:left="2840"/>
        <w:spacing w:after="0"/>
        <w:rPr>
          <w:sz w:val="20"/>
          <w:szCs w:val="20"/>
          <w:color w:val="auto"/>
        </w:rPr>
      </w:pPr>
      <w:r>
        <w:rPr>
          <w:rFonts w:ascii="Times New Roman" w:cs="Times New Roman" w:eastAsia="Times New Roman" w:hAnsi="Times New Roman"/>
          <w:sz w:val="17"/>
          <w:szCs w:val="17"/>
          <w:b w:val="1"/>
          <w:bCs w:val="1"/>
          <w:color w:val="auto"/>
        </w:rPr>
        <w:t>TRANSACTIONS WITH RELATED PERSONS AND INDEMNIFICATION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the Board or our Audit Committee. Under the policy,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the Board or our Audit Committee for review, consideration and approval. In approving or rejecting any such proposal, the Board or our Audit Committee is to consider the material facts of the transaction, including whether the transaction is on terms comparable to the terms generally available to an unaffiliated third party under the same or similar circumstances and the extent of the related person’s interest in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Since January 1, 2024, we have not participated in any related party transactions in which the amount involved exceeded or will exceed the lesser of $120,000 or 1% of the average of our total assets in a fiscal year,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have been reported pursuant to Item 402 of Regulation S-K or in the case of an executive officer who is not a named executive officer, would have been reported pursuant to Item 402 of Regulation S-K if such executive officer were a named executive officer provided such compensation has been approved, or recommended to the board of directors for approval, by the Compensation Committee (or group of independent directors performing a similar function).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Letter, Consulting Agreements and Stock Option Grants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entered into offer letter and consulting agreements with certain of our named executive officers, and granted stock options to our named executive officers and certain of our directors, as more fully described in the section titled “Executive and Director Compensation.”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limiting the liability of directors, and our amended and restated bylaws provide that we will indemnify each of our directors and officers to the fullest extent permitted under Delaware law. Our amended and restated certificate of incorporation and amended and restated bylaws also provide the Board with discretion to indemnify our employees and other agents when determined appropriate by the Board. In addition, we have entered into an indemnification agreement with each of our directors and executive officers, which will require us to indemnify them.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To our knowledge, based on a review of Section 16 reports submitted on EDGAR and written representations from the reporting persons that, during the fiscal year ended December 31, 2025, our officers, directors and greater than ten percent beneficial owners complied with all applicable Section 16(a) filing requirements, except for (i) one Form 4, covering one transaction, was filed late by Sean Ryder, (ii) one Form 4, covering one transaction, was filed late by John Thomas, (iii) two Form 4s, covering an aggregate of three transactions, were filed late by Joseph Cappello, (iv) two Form 4s, covering an aggregate of three transactions, were filed late by Yong (Tony) Yu, (v) two Form 4s, covering an aggregate of three transactions, were filed late by Thomas Zindrick, and (vi) two Form 4s, covering an aggregate of 4 transactions, were filed late by Ralph Smalling.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color w:val="auto"/>
        </w:rPr>
        <w:t>HOUSEHOLDING OF PROXY MATERIALS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ADDITIONAL FILINGS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make available, free of charge on our website, all of our filings that are made electronically with the SEC, including Forms 10-K, 10-Q and 8-K. To access these filings, go to our website https://genelux.com/ and click on “SEC Filings” under “Financial Information” under the “Investors” heading. Copies of our Annual Report on Form 10-K for the year ended December 31, 2025, including financial statements and schedules thereto, filed with the SEC, are also available without charge to stockholders by contacting Genelux Corporation by mail at 2625 Townsgate Road, Suite 230, Westlake Village, CA 91361, Attn: Secretary, by telephone at (805) 267-9889, or by email at info@genelux.com.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Annual Meeting, it is the intention of the persons named in the accompanying proxy to vote such proxy in accordance with the recommendation of our management on such matters, including any matters dealing with the conduct of the Annual Meeting.</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Thomas D. Zindrick, J.D.</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Thomas D. Zindrick,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copy of the Company’s Annual Report on Form 10-K for the fiscal year ended December 31, 2025 is available without charge upon written request to: c/o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Genelux Corporation, 2625 Townsgate Road, Suite 230, Westlake Village, CA 91361, Attn: Secretary.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lvl w:ilvl="1">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lowerRoman"/>
      <w:start w:val="2"/>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2026-04-29T07:03:43Z</dcterms:created>
  <dcterms:modified xsi:type="dcterms:W3CDTF">2026-04-29T07:03:43Z</dcterms:modified>
</cp:coreProperties>
</file>